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-156210</wp:posOffset>
                </wp:positionV>
                <wp:extent cx="7797800" cy="330200"/>
                <wp:effectExtent l="635" t="635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797800" cy="33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32"/>
                              </w:rPr>
                              <w:t>各圏域におけるアウトリーチ及び多職種連携機能のイメージ（案）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-12.3pt;mso-position-vertical-relative:text;mso-position-horizontal-relative:text;v-text-anchor:middle;position:absolute;height:26pt;mso-wrap-distance-top:0pt;width:614pt;mso-wrap-distance-left:5.65pt;margin-left:55.5pt;z-index:10;" o:spid="_x0000_s1026" o:allowincell="t" o:allowoverlap="t" filled="t" fillcolor="#ffffff [3212]" stroked="f" strokecolor="#42709c" strokeweight="1pt" o:spt="2" arcsize="10923f">
                <v:fill/>
                <v:stroke linestyle="single" miterlimit="8" endcap="flat" dashstyle="solid"/>
                <v:textbox style="layout-flow:horizontal;" inset="0mm,0mm,0mm,0mm">
                  <w:txbxContent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32"/>
                        </w:rPr>
                        <w:t>各圏域におけるアウトリーチ及び多職種連携機能のイメージ（案）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173990</wp:posOffset>
                </wp:positionV>
                <wp:extent cx="8805545" cy="20669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8805545" cy="2066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13.7pt;mso-position-vertical-relative:text;mso-position-horizontal-relative:text;position:absolute;height:162.75pt;mso-wrap-distance-top:0pt;width:693.35pt;mso-wrap-distance-left:5.65pt;margin-left:52.35pt;z-index:4;" o:spid="_x0000_s1027" o:allowincell="t" o:allowoverlap="t" filled="t" fillcolor="#e2efda [665]" stroked="t" strokecolor="#ffffff [3212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206375</wp:posOffset>
                </wp:positionV>
                <wp:extent cx="5171440" cy="15779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171440" cy="157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【主な機能】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・区全体として検討すべき具体的課題の検討や調整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0"/>
                                <w:color w:val="000000" w:themeColor="text1"/>
                                <w:sz w:val="28"/>
                                <w:u w:val="none" w:color="000000" w:themeColor="text1"/>
                              </w:rPr>
                              <w:t>・区や関連団体の制度、仕組みを具現化・普遍化・実施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・全体的な計画の策定、進捗管理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・（就労や学び、区内にない資源等）区内だけで完結しない相談</w:t>
                            </w:r>
                          </w:p>
                          <w:p>
                            <w:pPr>
                              <w:pStyle w:val="0"/>
                              <w:ind w:left="240" w:leftChars="100" w:right="0" w:rightChars="0" w:firstLine="0" w:firstLineChars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支援・調整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6.25pt;mso-position-vertical-relative:text;mso-position-horizontal-relative:text;v-text-anchor:top;position:absolute;height:124.25pt;mso-wrap-distance-top:0pt;width:407.2pt;mso-wrap-distance-left:16pt;margin-left:94.15pt;z-index:5;" o:spid="_x0000_s1028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【主な機能】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・区全体として検討すべき具体的課題の検討や調整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0"/>
                          <w:color w:val="000000" w:themeColor="text1"/>
                          <w:sz w:val="28"/>
                          <w:u w:val="none" w:color="000000" w:themeColor="text1"/>
                        </w:rPr>
                        <w:t>・区や関連団体の制度、仕組みを具現化・普遍化・実施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・全体的な計画の策定、進捗管理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・（就労や学び、区内にない資源等）区内だけで完結しない相談</w:t>
                      </w:r>
                    </w:p>
                    <w:p>
                      <w:pPr>
                        <w:pStyle w:val="0"/>
                        <w:ind w:left="240" w:leftChars="100" w:right="0" w:rightChars="0" w:firstLine="0" w:firstLineChars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支援・調整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73025</wp:posOffset>
                </wp:positionV>
                <wp:extent cx="2885440" cy="17970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885440" cy="179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対応・参加主体の例】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・区役所庁舎内各課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（生活困窮者自立支援窓口、福祉事務所、基幹型窓口・機関等含む）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・中野区地域包括ケア推進会議（部会含む）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・居住支援協議会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・全区レベルの組織（連合会、連絡会等）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75pt;mso-position-vertical-relative:text;mso-position-horizontal-relative:text;v-text-anchor:top;position:absolute;height:141.5pt;mso-wrap-distance-top:0pt;width:227.2pt;mso-wrap-distance-left:16pt;margin-left:505.7pt;z-index:15;" o:spid="_x0000_s1029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対応・参加主体の例】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・区役所庁舎内各課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（生活困窮者自立支援窓口、福祉事務所、基幹型窓口・機関等含む）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・中野区地域包括ケア推進会議（部会含む）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・居住支援協議会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・全区レベルの組織（連合会、連絡会等）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88900</wp:posOffset>
                </wp:positionV>
                <wp:extent cx="1400175" cy="7651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400175" cy="765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区全域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7pt;mso-position-vertical-relative:text;mso-position-horizontal-relative:text;v-text-anchor:middle;position:absolute;height:60.25pt;mso-wrap-distance-top:0pt;width:110.25pt;mso-wrap-distance-left:5.65pt;margin-left:-23.6pt;z-index:7;" o:spid="_x0000_s1030" o:allowincell="t" o:allowoverlap="t" filled="t" fillcolor="#ffffff [321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区全域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49530</wp:posOffset>
                </wp:positionV>
                <wp:extent cx="816610" cy="963930"/>
                <wp:effectExtent l="1270" t="635" r="3048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816610" cy="96393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4"/>
                              </w:rPr>
                              <w:t>具体化</w:t>
                            </w:r>
                          </w:p>
                        </w:txbxContent>
                      </wps:txbx>
                      <wps:bodyPr vertOverflow="overflow" horzOverflow="overflow" vert="eaVert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3.9pt;mso-position-vertical-relative:text;mso-position-horizontal-relative:text;v-text-anchor:middle;position:absolute;height:75.900000000000006pt;mso-wrap-distance-top:0pt;width:64.3pt;mso-wrap-distance-left:16pt;margin-left:34.200000000000003pt;z-index:14;" o:spid="_x0000_s1031" o:allowincell="t" o:allowoverlap="t" filled="t" fillcolor="#ffffff [3212]" stroked="t" strokecolor="#000000 [3213]" strokeweight="1pt" o:spt="67" type="#_x0000_t67" adj="10800,5400">
                <v:fill/>
                <v:stroke linestyle="single" miterlimit="8" endcap="flat" dashstyle="solid" filltype="solid"/>
                <v:textbox style="layout-flow:vertical-ideographic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4"/>
                        </w:rPr>
                        <w:t>具体化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6350</wp:posOffset>
                </wp:positionV>
                <wp:extent cx="756920" cy="924560"/>
                <wp:effectExtent l="1270" t="635" r="3048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756920" cy="92456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</w:rPr>
                              <w:t>提言</w:t>
                            </w:r>
                          </w:p>
                        </w:txbxContent>
                      </wps:txbx>
                      <wps:bodyPr vertOverflow="overflow" horzOverflow="overflow" vert="eaVert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0.5pt;mso-position-vertical-relative:text;mso-position-horizontal-relative:text;v-text-anchor:middle;position:absolute;height:72.8pt;mso-wrap-distance-top:0pt;width:59.6pt;mso-wrap-distance-left:16pt;margin-left:-23.6pt;z-index:20;" o:spid="_x0000_s1032" o:allowincell="t" o:allowoverlap="t" filled="t" fillcolor="#ffffff [3212]" stroked="t" strokecolor="#000000 [3213]" strokeweight="1pt" o:spt="68" type="#_x0000_t68" adj="10800,5400">
                <v:fill/>
                <v:stroke linestyle="single" miterlimit="8" endcap="flat" dashstyle="solid" filltype="solid"/>
                <v:textbox style="layout-flow:vertical-ideographic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</w:rPr>
                        <w:t>提言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145415</wp:posOffset>
                </wp:positionV>
                <wp:extent cx="8805545" cy="183832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8805545" cy="1838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11.45pt;mso-position-vertical-relative:text;mso-position-horizontal-relative:text;position:absolute;height:144.75pt;mso-wrap-distance-top:0pt;width:693.35pt;mso-wrap-distance-left:5.65pt;margin-left:52.5pt;z-index:3;" o:spid="_x0000_s1033" o:allowincell="t" o:allowoverlap="t" filled="t" fillcolor="#e2efda [665]" stroked="t" strokecolor="#ffffff [3212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16510</wp:posOffset>
                </wp:positionV>
                <wp:extent cx="5168900" cy="158750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168900" cy="158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【主な機能】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・区（全域）への提言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・個別困難事例の解決策検討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・情報の集約と地域資源の開発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・医療・介護・地域団体間のネットワーク構築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・圏域内の調整・集約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3pt;mso-position-vertical-relative:text;mso-position-horizontal-relative:text;v-text-anchor:top;position:absolute;height:125pt;mso-wrap-distance-top:0pt;width:407pt;mso-wrap-distance-left:16pt;margin-left:94.15pt;z-index:13;" o:spid="_x0000_s1034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【主な機能】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・区（全域）への提言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・個別困難事例の解決策検討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・情報の集約と地域資源の開発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・医療・介護・地域団体間のネットワーク構築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・圏域内の調整・集約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6470015</wp:posOffset>
                </wp:positionH>
                <wp:positionV relativeFrom="paragraph">
                  <wp:posOffset>16510</wp:posOffset>
                </wp:positionV>
                <wp:extent cx="2790190" cy="159702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2790190" cy="159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対応・参加主体の例】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・すこやか福祉センター（アウトリーチチーム）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・地域包括支援センター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・障害者支援事業所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・すこやか地域ケア会議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3pt;mso-position-vertical-relative:text;mso-position-horizontal-relative:text;v-text-anchor:top;position:absolute;height:125.75pt;mso-wrap-distance-top:0pt;width:219.7pt;mso-wrap-distance-left:16pt;margin-left:509.45pt;z-index:17;" o:spid="_x0000_s1035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対応・参加主体の例】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・すこやか福祉センター（アウトリーチチーム）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・地域包括支援センター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・障害者支援事業所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・すこやか地域ケア会議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88900</wp:posOffset>
                </wp:positionV>
                <wp:extent cx="984250" cy="978535"/>
                <wp:effectExtent l="1270" t="635" r="30480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984250" cy="97853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提言</w:t>
                            </w:r>
                          </w:p>
                        </w:txbxContent>
                      </wps:txbx>
                      <wps:bodyPr vertOverflow="overflow" horzOverflow="overflow" vert="eaVert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7pt;mso-position-vertical-relative:text;mso-position-horizontal-relative:text;v-text-anchor:middle;position:absolute;height:77.05pt;mso-wrap-distance-top:0pt;width:77.5pt;mso-wrap-distance-left:16pt;margin-left:359pt;z-index:6;" o:spid="_x0000_s1036" o:allowincell="t" o:allowoverlap="t" filled="t" fillcolor="#ffffff [3212]" stroked="t" strokecolor="#000000 [3213]" strokeweight="1pt" o:spt="68" type="#_x0000_t68" adj="10800,5400">
                <v:fill/>
                <v:stroke linestyle="single" miterlimit="8" endcap="flat" dashstyle="solid" filltype="solid"/>
                <v:textbox style="layout-flow:vertical-ideographic;" inset="0mm,0mm,0mm,0mm">
                  <w:txbxContent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提言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88900</wp:posOffset>
                </wp:positionV>
                <wp:extent cx="1409700" cy="90805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1409700" cy="908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4"/>
                              </w:rPr>
                              <w:t>すこやか圏域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4"/>
                              </w:rPr>
                              <w:t>（日常生活圏域）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7pt;mso-position-vertical-relative:text;mso-position-horizontal-relative:text;v-text-anchor:middle;position:absolute;height:71.5pt;mso-wrap-distance-top:0pt;width:111pt;mso-wrap-distance-left:5.65pt;margin-left:-28.1pt;z-index:11;" o:spid="_x0000_s1037" o:allowincell="t" o:allowoverlap="t" filled="t" fillcolor="#ffffff [321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4"/>
                        </w:rPr>
                        <w:t>すこやか圏域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4"/>
                        </w:rPr>
                        <w:t>（日常生活圏域）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168910</wp:posOffset>
                </wp:positionV>
                <wp:extent cx="685800" cy="1162050"/>
                <wp:effectExtent l="1270" t="635" r="30480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685800" cy="1162050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集約と補完</w:t>
                            </w:r>
                          </w:p>
                        </w:txbxContent>
                      </wps:txbx>
                      <wps:bodyPr vertOverflow="overflow" horzOverflow="overflow" vert="eaVert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オブジェクト 0" style="mso-wrap-distance-right:16pt;mso-wrap-distance-bottom:0pt;margin-top:13.3pt;mso-position-vertical-relative:text;mso-position-horizontal-relative:text;v-text-anchor:middle;position:absolute;height:91.5pt;mso-wrap-distance-top:0pt;width:54pt;mso-wrap-distance-left:16pt;margin-left:-1.5pt;z-index:19;" o:spid="_x0000_s1038" o:allowincell="t" o:allowoverlap="t" filled="t" fillcolor="#ffffff [3212]" stroked="t" strokecolor="#000000 [3213]" strokeweight="1pt" o:spt="70" type="#_x0000_t70" adj="5400,10800">
                <v:fill/>
                <v:stroke linestyle="single" miterlimit="8" endcap="flat" dashstyle="solid" filltype="solid"/>
                <v:textbox style="layout-flow:vertical-ideographic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集約と補完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6470015</wp:posOffset>
                </wp:positionH>
                <wp:positionV relativeFrom="paragraph">
                  <wp:posOffset>200025</wp:posOffset>
                </wp:positionV>
                <wp:extent cx="2790190" cy="153035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2790190" cy="153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対応・参加主体の例】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・区民活動センター（アウトリーチチーム）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・地区組織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・個別ケース検討会議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・地域支えあいネットワーク会議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・個別団体、個人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5.75pt;mso-position-vertical-relative:text;mso-position-horizontal-relative:text;v-text-anchor:top;position:absolute;height:120.5pt;mso-wrap-distance-top:0pt;width:219.7pt;mso-wrap-distance-left:16pt;margin-left:509.45pt;z-index:16;" o:spid="_x0000_s1039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対応・参加主体の例】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・区民活動センター（アウトリーチチーム）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・地区組織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・個別ケース検討会議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・地域支えあいネットワーク会議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・個別団体、個人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98425</wp:posOffset>
                </wp:positionV>
                <wp:extent cx="8872220" cy="1762125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8872220" cy="1762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7.75pt;mso-position-vertical-relative:text;mso-position-horizontal-relative:text;position:absolute;height:138.75pt;mso-wrap-distance-top:0pt;width:698.6pt;mso-wrap-distance-left:5.65pt;margin-left:47.1pt;z-index:2;" o:spid="_x0000_s1040" o:allowincell="t" o:allowoverlap="t" filled="t" fillcolor="#e2efda [665]" stroked="t" strokecolor="#ffffff [3212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76200</wp:posOffset>
                </wp:positionV>
                <wp:extent cx="5169535" cy="131127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5169535" cy="131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ind w:leftChars="0" w:right="0" w:rightChars="0" w:firstLineChars="0"/>
                              <w:jc w:val="left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【主な機能】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ind w:leftChars="0" w:right="0" w:rightChars="0" w:firstLineChars="0"/>
                              <w:jc w:val="left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・個別相談の受け止め、潜在的要支援者の発見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ind w:leftChars="0" w:right="0" w:rightChars="0" w:firstLineChars="0"/>
                              <w:jc w:val="left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・個別事例解決策の検討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・地域資源の発見・把握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8"/>
                              </w:rPr>
                              <w:t>・個別地域団体、主体間のネットワーク構築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pt;mso-position-vertical-relative:text;mso-position-horizontal-relative:text;v-text-anchor:top;position:absolute;height:103.25pt;mso-wrap-distance-top:0pt;width:407.05pt;mso-wrap-distance-left:16pt;margin-left:94.3pt;z-index:12;" o:spid="_x0000_s1041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ind w:leftChars="0" w:right="0" w:rightChars="0" w:firstLineChars="0"/>
                        <w:jc w:val="left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【主な機能】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ind w:leftChars="0" w:right="0" w:rightChars="0" w:firstLineChars="0"/>
                        <w:jc w:val="left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・個別相談の受け止め、潜在的要支援者の発見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ind w:leftChars="0" w:right="0" w:rightChars="0" w:firstLineChars="0"/>
                        <w:jc w:val="left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・個別事例解決策の検討</w:t>
                      </w:r>
                    </w:p>
                    <w:p>
                      <w:pPr>
                        <w:pStyle w:val="0"/>
                        <w:ind w:left="0" w:leftChars="0" w:right="0" w:rightChars="0" w:firstLine="0" w:firstLineChars="0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・地域資源の発見・把握</w:t>
                      </w:r>
                    </w:p>
                    <w:p>
                      <w:pPr>
                        <w:pStyle w:val="0"/>
                        <w:ind w:left="0" w:leftChars="0" w:right="0" w:rightChars="0" w:firstLine="0" w:firstLineChars="0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8"/>
                        </w:rPr>
                        <w:t>・個別地域団体、主体間のネットワーク構築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28575</wp:posOffset>
                </wp:positionV>
                <wp:extent cx="1400175" cy="90805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1400175" cy="908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4"/>
                              </w:rPr>
                              <w:t>区活圏域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  <w:sz w:val="20"/>
                              </w:rPr>
                              <w:t>（日常区民活動圏域）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2.25pt;mso-position-vertical-relative:text;mso-position-horizontal-relative:text;v-text-anchor:middle;position:absolute;height:71.5pt;mso-wrap-distance-top:0pt;width:110.25pt;mso-wrap-distance-left:5.65pt;margin-left:-23.75pt;z-index:18;" o:spid="_x0000_s1042" o:allowincell="t" o:allowoverlap="t" filled="t" fillcolor="#ffffff [321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4"/>
                        </w:rPr>
                        <w:t>区活圏域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  <w:sz w:val="20"/>
                        </w:rPr>
                        <w:t>（日常区民活動圏域）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13461365</wp:posOffset>
                </wp:positionH>
                <wp:positionV relativeFrom="paragraph">
                  <wp:posOffset>0</wp:posOffset>
                </wp:positionV>
                <wp:extent cx="863600" cy="787400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863600" cy="787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町会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0pt;mso-position-vertical-relative:text;mso-position-horizontal-relative:text;v-text-anchor:middle;position:absolute;height:62pt;mso-wrap-distance-top:0pt;width:68pt;mso-wrap-distance-left:16pt;margin-left:1059.95pt;z-index:9;" o:spid="_x0000_s1043" o:allowincell="t" o:allowoverlap="t" filled="t" fillcolor="#ffffff [3212]" stroked="t" strokecolor="#000000 [3213]" strokeweight="1pt" o:spt="3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町会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12230100</wp:posOffset>
                </wp:positionH>
                <wp:positionV relativeFrom="paragraph">
                  <wp:posOffset>82550</wp:posOffset>
                </wp:positionV>
                <wp:extent cx="863600" cy="787400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863600" cy="787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民生・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児童委員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6.5pt;mso-position-vertical-relative:text;mso-position-horizontal-relative:text;v-text-anchor:middle;position:absolute;height:62pt;mso-wrap-distance-top:0pt;width:68pt;mso-wrap-distance-left:16pt;margin-left:963pt;z-index:8;" o:spid="_x0000_s1044" o:allowincell="t" o:allowoverlap="t" filled="t" fillcolor="#ffffff [3212]" stroked="t" strokecolor="#000000 [3213]" strokeweight="1pt" o:spt="3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民生・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児童委員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480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1" w:lastRow="0" w:firstColumn="1" w:lastColumn="0" w:noHBand="0" w:noVBand="1" w:val="04A0"/>
    </w:tblPr>
    <w:tblGrid>
      <w:gridCol w:w="2100"/>
      <w:gridCol w:w="1365"/>
      <w:gridCol w:w="1338"/>
    </w:tblGrid>
    <w:tr>
      <w:trPr>
        <w:cantSplit/>
      </w:trPr>
      <w:tc>
        <w:tcPr>
          <w:tcW w:w="2100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center"/>
        </w:tcPr>
        <w:p>
          <w:pPr>
            <w:pStyle w:val="0"/>
            <w:spacing w:line="0" w:lineRule="atLeast"/>
            <w:jc w:val="center"/>
            <w:rPr>
              <w:rFonts w:hint="eastAsia" w:ascii="BIZ UD明朝 Medium" w:hAnsi="BIZ UD明朝 Medium" w:eastAsia="BIZ UD明朝 Medium"/>
              <w:sz w:val="24"/>
            </w:rPr>
          </w:pPr>
          <w:r>
            <w:rPr>
              <w:rFonts w:hint="eastAsia" w:ascii="BIZ UD明朝 Medium" w:hAnsi="BIZ UD明朝 Medium" w:eastAsia="BIZ UD明朝 Medium"/>
              <w:sz w:val="24"/>
            </w:rPr>
            <w:t>健康福祉審議会</w:t>
          </w:r>
        </w:p>
      </w:tc>
      <w:tc>
        <w:tcPr>
          <w:tcW w:w="1365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center"/>
        </w:tcPr>
        <w:p>
          <w:pPr>
            <w:pStyle w:val="0"/>
            <w:spacing w:line="0" w:lineRule="atLeast"/>
            <w:jc w:val="center"/>
            <w:rPr>
              <w:rFonts w:hint="eastAsia" w:ascii="BIZ UD明朝 Medium" w:hAnsi="BIZ UD明朝 Medium" w:eastAsia="BIZ UD明朝 Medium"/>
              <w:sz w:val="24"/>
            </w:rPr>
          </w:pPr>
          <w:r>
            <w:rPr>
              <w:rFonts w:hint="eastAsia" w:ascii="BIZ UD明朝 Medium" w:hAnsi="BIZ UD明朝 Medium" w:eastAsia="BIZ UD明朝 Medium"/>
              <w:sz w:val="24"/>
            </w:rPr>
            <w:t>2020/12</w:t>
          </w:r>
        </w:p>
      </w:tc>
      <w:tc>
        <w:tcPr>
          <w:tcW w:w="1338" w:type="dxa"/>
          <w:vMerge w:val="restart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center"/>
        </w:tcPr>
        <w:p>
          <w:pPr>
            <w:pStyle w:val="0"/>
            <w:spacing w:line="0" w:lineRule="atLeast"/>
            <w:jc w:val="center"/>
            <w:rPr>
              <w:rFonts w:hint="eastAsia" w:ascii="BIZ UD明朝 Medium" w:hAnsi="BIZ UD明朝 Medium" w:eastAsia="BIZ UD明朝 Medium"/>
              <w:b w:val="1"/>
              <w:sz w:val="24"/>
            </w:rPr>
          </w:pPr>
          <w:r>
            <w:rPr>
              <w:rFonts w:hint="eastAsia" w:ascii="BIZ UD明朝 Medium" w:hAnsi="BIZ UD明朝 Medium" w:eastAsia="BIZ UD明朝 Medium"/>
              <w:b w:val="1"/>
              <w:sz w:val="24"/>
            </w:rPr>
            <w:t>資料１</w:t>
          </w:r>
          <w:bookmarkStart w:id="0" w:name="_GoBack"/>
          <w:bookmarkEnd w:id="0"/>
          <w:r>
            <w:rPr>
              <w:rFonts w:hint="eastAsia" w:ascii="BIZ UD明朝 Medium" w:hAnsi="BIZ UD明朝 Medium" w:eastAsia="BIZ UD明朝 Medium"/>
              <w:b w:val="1"/>
              <w:sz w:val="24"/>
            </w:rPr>
            <w:t>-</w:t>
          </w:r>
          <w:r>
            <w:rPr>
              <w:rFonts w:hint="eastAsia" w:ascii="BIZ UD明朝 Medium" w:hAnsi="BIZ UD明朝 Medium" w:eastAsia="BIZ UD明朝 Medium"/>
              <w:b w:val="1"/>
              <w:sz w:val="24"/>
            </w:rPr>
            <w:t>２</w:t>
          </w:r>
        </w:p>
      </w:tc>
    </w:tr>
    <w:tr>
      <w:trPr>
        <w:cantSplit/>
      </w:trPr>
      <w:tc>
        <w:tcPr>
          <w:tcW w:w="3465" w:type="dxa"/>
          <w:gridSpan w:val="2"/>
          <w:tc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center"/>
        </w:tcPr>
        <w:p>
          <w:pPr>
            <w:pStyle w:val="0"/>
            <w:spacing w:line="0" w:lineRule="atLeast"/>
            <w:jc w:val="center"/>
            <w:rPr>
              <w:rFonts w:hint="eastAsia" w:ascii="BIZ UD明朝 Medium" w:hAnsi="BIZ UD明朝 Medium" w:eastAsia="BIZ UD明朝 Medium"/>
              <w:color w:val="auto"/>
              <w:sz w:val="24"/>
            </w:rPr>
          </w:pPr>
          <w:r>
            <w:rPr>
              <w:rFonts w:hint="eastAsia" w:ascii="BIZ UD明朝 Medium" w:hAnsi="BIZ UD明朝 Medium" w:eastAsia="BIZ UD明朝 Medium"/>
              <w:color w:val="auto"/>
              <w:sz w:val="24"/>
            </w:rPr>
            <w:t>第６回　地域福祉部会</w:t>
          </w:r>
        </w:p>
      </w:tc>
      <w:tc>
        <w:tcPr>
          <w:tcW w:w="1338" w:type="dxa"/>
          <w:vMerge w:val="continue"/>
          <w:tc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top"/>
        </w:tcPr>
        <w:p>
          <w:pPr>
            <w:pStyle w:val="0"/>
            <w:spacing w:line="0" w:lineRule="atLeast"/>
            <w:jc w:val="center"/>
            <w:rPr>
              <w:rFonts w:hint="default" w:ascii="ＭＳ Ｐゴシック" w:hAnsi="ＭＳ Ｐゴシック" w:eastAsia="ＭＳ Ｐゴシック"/>
              <w:sz w:val="20"/>
            </w:rPr>
          </w:pPr>
        </w:p>
      </w:tc>
    </w:tr>
  </w:tbl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hanging="100" w:hangingChars="1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  <a:headEnd/>
          <a:tailEnd/>
        </a:ln>
      </a:spPr>
      <a:bodyPr vertOverflow="overflow" horzOverflow="overflow" wrap="square" lIns="0" tIns="0" rIns="0" bIns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</Pages>
  <Words>3</Words>
  <Characters>587</Characters>
  <Application>JUST Note</Application>
  <Lines>97</Lines>
  <Paragraphs>73</Paragraphs>
  <Company>中野区</Company>
  <CharactersWithSpaces>2624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　拓也</dc:creator>
  <cp:lastModifiedBy>渡辺　克己</cp:lastModifiedBy>
  <cp:lastPrinted>2020-06-25T04:26:40Z</cp:lastPrinted>
  <dcterms:created xsi:type="dcterms:W3CDTF">2020-06-23T03:56:00Z</dcterms:created>
  <dcterms:modified xsi:type="dcterms:W3CDTF">2020-12-10T02:00:11Z</dcterms:modified>
  <cp:revision>88</cp:revision>
</cp:coreProperties>
</file>