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メイリオ" w:hAnsi="メイリオ" w:eastAsia="メイリオ"/>
          <w:b w:val="1"/>
        </w:rPr>
      </w:pPr>
      <w:bookmarkStart w:id="0" w:name="_Toc413155790"/>
      <w:r>
        <w:rPr>
          <w:rFonts w:hint="default" w:ascii="メイリオ" w:hAnsi="メイリオ" w:eastAsia="メイリオ"/>
          <w:b w:val="1"/>
        </w:rPr>
        <mc:AlternateContent>
          <mc:Choice Requires="wps">
            <w:drawing>
              <wp:anchor distT="0" distB="0" distL="114300" distR="114300" simplePos="0" relativeHeight="2" behindDoc="0" locked="0" layoutInCell="1" hidden="0" allowOverlap="1">
                <wp:simplePos x="0" y="0"/>
                <wp:positionH relativeFrom="column">
                  <wp:posOffset>8191500</wp:posOffset>
                </wp:positionH>
                <wp:positionV relativeFrom="paragraph">
                  <wp:posOffset>-312420</wp:posOffset>
                </wp:positionV>
                <wp:extent cx="928370" cy="119570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別紙３－２</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24.6pt;mso-position-vertical-relative:text;mso-position-horizontal-relative:text;v-text-anchor:top;position:absolute;height:94.15pt;mso-wrap-distance-top:0pt;width:73.09pt;mso-wrap-distance-left:9pt;margin-left:645pt;z-index:2;"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別紙３－２</w:t>
                      </w:r>
                    </w:p>
                  </w:txbxContent>
                </v:textbox>
                <v:imagedata o:title=""/>
                <w10:wrap type="none" anchorx="text" anchory="text"/>
              </v:shape>
            </w:pict>
          </mc:Fallback>
        </mc:AlternateContent>
      </w:r>
      <w:r>
        <w:rPr>
          <w:rFonts w:hint="eastAsia" w:ascii="メイリオ" w:hAnsi="メイリオ" w:eastAsia="メイリオ"/>
          <w:b w:val="1"/>
        </w:rPr>
        <w:t xml:space="preserve">&lt; </w:t>
      </w:r>
      <w:r>
        <w:rPr>
          <w:rFonts w:hint="eastAsia" w:ascii="メイリオ" w:hAnsi="メイリオ" w:eastAsia="メイリオ"/>
          <w:b w:val="1"/>
        </w:rPr>
        <w:t>事業所自己評価</w:t>
      </w:r>
      <w:r>
        <w:rPr>
          <w:rFonts w:hint="eastAsia" w:ascii="メイリオ" w:hAnsi="メイリオ" w:eastAsia="メイリオ"/>
          <w:b w:val="1"/>
        </w:rPr>
        <w:t>_</w:t>
      </w:r>
      <w:r>
        <w:rPr>
          <w:rFonts w:hint="eastAsia" w:ascii="メイリオ" w:hAnsi="メイリオ" w:eastAsia="メイリオ"/>
          <w:b w:val="1"/>
        </w:rPr>
        <w:t>様式例</w:t>
      </w:r>
      <w:bookmarkEnd w:id="0"/>
      <w:r>
        <w:rPr>
          <w:rFonts w:hint="eastAsia" w:ascii="メイリオ" w:hAnsi="メイリオ" w:eastAsia="メイリオ"/>
          <w:b w:val="1"/>
        </w:rPr>
        <w:t xml:space="preserve"> &gt;</w:t>
      </w:r>
    </w:p>
    <w:p>
      <w:pPr>
        <w:pStyle w:val="18"/>
        <w:spacing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【事業所概要】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4962"/>
        <w:gridCol w:w="1842"/>
        <w:gridCol w:w="5745"/>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法人名</w:t>
            </w:r>
          </w:p>
        </w:tc>
        <w:tc>
          <w:tcPr>
            <w:tcW w:w="496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sz w:val="21"/>
              </w:rPr>
            </w:pPr>
          </w:p>
        </w:tc>
        <w:tc>
          <w:tcPr>
            <w:tcW w:w="184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事業所名</w:t>
            </w:r>
          </w:p>
        </w:tc>
        <w:tc>
          <w:tcPr>
            <w:tcW w:w="57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rPr>
            </w:pPr>
          </w:p>
        </w:tc>
      </w:tr>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所在地</w:t>
            </w:r>
          </w:p>
          <w:p>
            <w:pPr>
              <w:pStyle w:val="18"/>
              <w:spacing w:after="175" w:afterLines="50" w:afterAutospacing="0"/>
              <w:rPr>
                <w:rFonts w:hint="default"/>
                <w:sz w:val="21"/>
              </w:rPr>
            </w:pPr>
          </w:p>
        </w:tc>
        <w:tc>
          <w:tcPr>
            <w:tcW w:w="12549"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r>
              <w:rPr>
                <w:rFonts w:hint="eastAsia"/>
              </w:rPr>
              <w:t>（〒　　　　－　　　　）</w:t>
            </w: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【自己評価の実施概要】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事業所自己評価</w:t>
            </w:r>
          </w:p>
          <w:p>
            <w:pPr>
              <w:pStyle w:val="18"/>
              <w:rPr>
                <w:rFonts w:hint="default"/>
                <w:sz w:val="21"/>
              </w:rPr>
            </w:pPr>
            <w:r>
              <w:rPr>
                <w:rFonts w:hint="eastAsia"/>
                <w:sz w:val="21"/>
              </w:rPr>
              <w:t>実施日</w:t>
            </w:r>
          </w:p>
        </w:tc>
        <w:tc>
          <w:tcPr>
            <w:tcW w:w="52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ind w:firstLine="404" w:firstLineChars="200"/>
              <w:rPr>
                <w:rFonts w:hint="default"/>
                <w:sz w:val="21"/>
              </w:rPr>
            </w:pPr>
            <w:bookmarkStart w:id="1" w:name="_GoBack"/>
            <w:bookmarkEnd w:id="1"/>
            <w:r>
              <w:rPr>
                <w:rFonts w:hint="eastAsia"/>
                <w:sz w:val="21"/>
                <w:u w:val="single" w:color="auto"/>
              </w:rPr>
              <w:t>　　　　　</w:t>
            </w:r>
            <w:r>
              <w:rPr>
                <w:rFonts w:hint="eastAsia"/>
                <w:sz w:val="21"/>
              </w:rPr>
              <w:t>年</w:t>
            </w:r>
            <w:r>
              <w:rPr>
                <w:rFonts w:hint="eastAsia"/>
                <w:sz w:val="21"/>
                <w:u w:val="single" w:color="auto"/>
              </w:rPr>
              <w:t>　　　　</w:t>
            </w:r>
            <w:r>
              <w:rPr>
                <w:rFonts w:hint="eastAsia"/>
                <w:sz w:val="21"/>
              </w:rPr>
              <w:t>月</w:t>
            </w:r>
            <w:r>
              <w:rPr>
                <w:rFonts w:hint="eastAsia"/>
                <w:sz w:val="21"/>
                <w:u w:val="single" w:color="auto"/>
              </w:rPr>
              <w:t>　　　　</w:t>
            </w:r>
            <w:r>
              <w:rPr>
                <w:rFonts w:hint="eastAsia"/>
                <w:sz w:val="21"/>
              </w:rPr>
              <w:t>日</w:t>
            </w:r>
          </w:p>
        </w:tc>
        <w:tc>
          <w:tcPr>
            <w:tcW w:w="198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従業者等自己評価</w:t>
            </w:r>
          </w:p>
          <w:p>
            <w:pPr>
              <w:pStyle w:val="18"/>
              <w:rPr>
                <w:rFonts w:hint="default"/>
                <w:sz w:val="21"/>
              </w:rPr>
            </w:pPr>
            <w:r>
              <w:rPr>
                <w:rFonts w:hint="eastAsia"/>
                <w:sz w:val="21"/>
              </w:rPr>
              <w:t>実施人数</w:t>
            </w:r>
          </w:p>
        </w:tc>
        <w:tc>
          <w:tcPr>
            <w:tcW w:w="531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　（</w:t>
            </w:r>
            <w:r>
              <w:rPr>
                <w:rFonts w:hint="eastAsia"/>
                <w:sz w:val="21"/>
                <w:u w:val="single" w:color="auto"/>
              </w:rPr>
              <w:t>　　　　　　</w:t>
            </w:r>
            <w:r>
              <w:rPr>
                <w:rFonts w:hint="eastAsia"/>
                <w:sz w:val="21"/>
              </w:rPr>
              <w:t>）人　　　　　　　　※管理者を含む</w:t>
            </w:r>
          </w:p>
        </w:tc>
      </w:tr>
    </w:tbl>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spacing w:after="175" w:afterLines="50" w:afterAutospacing="0"/>
        <w:rPr>
          <w:rFonts w:hint="default" w:ascii="ＭＳ Ｐゴシック" w:hAnsi="ＭＳ Ｐゴシック" w:eastAsia="ＭＳ Ｐゴシック"/>
        </w:rPr>
      </w:pPr>
    </w:p>
    <w:p>
      <w:pPr>
        <w:pStyle w:val="18"/>
        <w:ind w:left="192" w:hanging="192" w:hangingChars="1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当該様式は、「事業所自己評価」の結果を整理するとともに、その結果を運営推進会議へ報告するための様式として使用します。また、運営推進会議において得られた主なご意見等は、次ページ以降の「運営推進会議における意見等」の欄にメモします。</w:t>
      </w:r>
    </w:p>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caps w:val="1"/>
        </w:rPr>
        <w:t>前回の改善計画の進捗評価</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2920"/>
        <w:gridCol w:w="2921"/>
        <w:gridCol w:w="2920"/>
        <w:gridCol w:w="2921"/>
      </w:tblGrid>
      <w:tr>
        <w:trPr>
          <w:trHeight w:val="85" w:hRule="atLeast"/>
        </w:trPr>
        <w:tc>
          <w:tcPr>
            <w:tcW w:w="2694" w:type="dxa"/>
            <w:gridSpan w:val="2"/>
            <w:vMerge w:val="restart"/>
            <w:shd w:val="clear" w:color="auto" w:themeFill="background1" w:themeFillTint="FF" w:themeFillShade="F2"/>
            <w:vAlign w:val="center"/>
          </w:tcPr>
          <w:p>
            <w:pPr>
              <w:pStyle w:val="18"/>
              <w:jc w:val="center"/>
              <w:rPr>
                <w:rFonts w:hint="default"/>
                <w:sz w:val="21"/>
              </w:rPr>
            </w:pPr>
            <w:r>
              <w:rPr>
                <w:rFonts w:hint="eastAsia"/>
                <w:sz w:val="21"/>
              </w:rPr>
              <w:t>項目</w:t>
            </w:r>
          </w:p>
        </w:tc>
        <w:tc>
          <w:tcPr>
            <w:tcW w:w="2920" w:type="dxa"/>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前回の改善計画</w:t>
            </w:r>
          </w:p>
        </w:tc>
        <w:tc>
          <w:tcPr>
            <w:tcW w:w="2921" w:type="dxa"/>
            <w:vMerge w:val="restart"/>
            <w:tcBorders>
              <w:top w:val="single" w:color="808080" w:themeColor="background1" w:themeShade="80" w:sz="4"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実施した具体的な取組</w:t>
            </w:r>
          </w:p>
        </w:tc>
        <w:tc>
          <w:tcPr>
            <w:tcW w:w="5841" w:type="dxa"/>
            <w:gridSpan w:val="2"/>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進捗評価</w:t>
            </w:r>
          </w:p>
        </w:tc>
      </w:tr>
      <w:tr>
        <w:trPr>
          <w:trHeight w:val="85" w:hRule="atLeast"/>
        </w:trPr>
        <w:tc>
          <w:tcPr>
            <w:tcW w:w="2694" w:type="dxa"/>
            <w:gridSpan w:val="2"/>
            <w:vMerge w:val="continue"/>
            <w:shd w:val="clear" w:color="auto" w:themeFill="background1" w:themeFillTint="FF" w:themeFillShade="F2"/>
            <w:vAlign w:val="center"/>
          </w:tcPr>
          <w:p>
            <w:pPr>
              <w:pStyle w:val="18"/>
              <w:jc w:val="center"/>
              <w:rPr>
                <w:rFonts w:hint="default"/>
                <w:sz w:val="21"/>
              </w:rPr>
            </w:pPr>
          </w:p>
        </w:tc>
        <w:tc>
          <w:tcPr>
            <w:tcW w:w="2920"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p>
        </w:tc>
        <w:tc>
          <w:tcPr>
            <w:tcW w:w="2921" w:type="dxa"/>
            <w:vMerge w:val="continue"/>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p>
        </w:tc>
        <w:tc>
          <w:tcPr>
            <w:tcW w:w="2920"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自己評価</w:t>
            </w: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運営推進会議における意見等</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2920"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2920"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2920"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2920"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2920"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※「進捗評価（運営推進会議における意見等）」には、運営推進会議の場で得られた主なご意見等をメモします。その他の欄は、事業所が記載します</w:t>
      </w:r>
    </w:p>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「今回の</w:t>
      </w:r>
      <w:r>
        <w:rPr>
          <w:rFonts w:hint="eastAsia" w:asciiTheme="majorEastAsia" w:hAnsiTheme="majorEastAsia" w:eastAsiaTheme="majorEastAsia"/>
          <w:caps w:val="1"/>
        </w:rPr>
        <w:t>改善計画（案）」および「運営推進会議における評価」</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5841"/>
        <w:gridCol w:w="5841"/>
      </w:tblGrid>
      <w:tr>
        <w:trPr>
          <w:trHeight w:val="673" w:hRule="atLeast"/>
        </w:trPr>
        <w:tc>
          <w:tcPr>
            <w:tcW w:w="2694" w:type="dxa"/>
            <w:gridSpan w:val="2"/>
            <w:shd w:val="clear" w:color="auto" w:themeFill="background1" w:themeFillTint="FF" w:themeFillShade="F2"/>
            <w:vAlign w:val="center"/>
          </w:tcPr>
          <w:p>
            <w:pPr>
              <w:pStyle w:val="18"/>
              <w:jc w:val="center"/>
              <w:rPr>
                <w:rFonts w:hint="default"/>
                <w:sz w:val="21"/>
              </w:rPr>
            </w:pPr>
            <w:r>
              <w:rPr>
                <w:rFonts w:hint="eastAsia"/>
                <w:sz w:val="21"/>
              </w:rPr>
              <w:t>項目</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改善計画（案）</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運営推進会議における意見等</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rHeight w:val="77" w:hRule="atLeast"/>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5841" w:type="dxa"/>
            <w:vAlign w:val="top"/>
          </w:tcPr>
          <w:p>
            <w:pPr>
              <w:pStyle w:val="18"/>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※「改善計画（案）」には、事業所としての案を記載します。「運営推進会議における意見等」は、運営推進会議の場で得られた主なご意見等をメモします</w:t>
      </w:r>
    </w:p>
    <w:p>
      <w:pPr>
        <w:pStyle w:val="18"/>
        <w:spacing w:after="87" w:afterLines="25" w:afterAutospacing="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評価表</w:t>
      </w:r>
      <w:r>
        <w:rPr>
          <w:rFonts w:hint="eastAsia" w:asciiTheme="majorEastAsia" w:hAnsiTheme="majorEastAsia" w:eastAsiaTheme="majorEastAsia"/>
        </w:rPr>
        <w:t xml:space="preserve"> [</w:t>
      </w:r>
      <w:r>
        <w:rPr>
          <w:rFonts w:hint="eastAsia" w:asciiTheme="majorEastAsia" w:hAnsiTheme="majorEastAsia" w:eastAsiaTheme="majorEastAsia"/>
        </w:rPr>
        <w:t>事業所自己評価</w:t>
      </w:r>
      <w:r>
        <w:rPr>
          <w:rFonts w:hint="eastAsia" w:asciiTheme="majorEastAsia" w:hAnsiTheme="majorEastAsia" w:eastAsiaTheme="majorEastAsia"/>
        </w:rPr>
        <w:t>]</w:t>
      </w:r>
    </w:p>
    <w:tbl>
      <w:tblPr>
        <w:tblStyle w:val="11"/>
        <w:tblW w:w="4985"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8"/>
        <w:gridCol w:w="3056"/>
        <w:gridCol w:w="992"/>
        <w:gridCol w:w="28"/>
        <w:gridCol w:w="958"/>
        <w:gridCol w:w="26"/>
        <w:gridCol w:w="34"/>
        <w:gridCol w:w="924"/>
        <w:gridCol w:w="43"/>
        <w:gridCol w:w="9"/>
        <w:gridCol w:w="45"/>
        <w:gridCol w:w="998"/>
        <w:gridCol w:w="60"/>
        <w:gridCol w:w="11"/>
        <w:gridCol w:w="2968"/>
        <w:gridCol w:w="3535"/>
      </w:tblGrid>
      <w:tr>
        <w:trPr>
          <w:trHeight w:val="189" w:hRule="atLeast"/>
          <w:tblHeader/>
        </w:trPr>
        <w:tc>
          <w:tcPr>
            <w:tcW w:w="172"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textDirection w:val="tbRlV"/>
            <w:vAlign w:val="center"/>
          </w:tcPr>
          <w:p>
            <w:pPr>
              <w:pStyle w:val="0"/>
              <w:snapToGrid w:val="0"/>
              <w:ind w:left="113" w:right="113"/>
              <w:jc w:val="center"/>
              <w:rPr>
                <w:rFonts w:hint="default" w:ascii="ＭＳ 明朝" w:hAnsi="ＭＳ 明朝"/>
                <w:sz w:val="21"/>
              </w:rPr>
            </w:pPr>
            <w:r>
              <w:rPr>
                <w:rFonts w:hint="eastAsia" w:ascii="ＭＳ 明朝" w:hAnsi="ＭＳ 明朝"/>
                <w:sz w:val="21"/>
              </w:rPr>
              <w:t>番号</w:t>
            </w:r>
          </w:p>
        </w:tc>
        <w:tc>
          <w:tcPr>
            <w:tcW w:w="1078" w:type="pct"/>
            <w:vMerge w:val="restart"/>
            <w:tcBorders>
              <w:top w:val="single" w:color="808080" w:themeColor="background1" w:themeShade="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56" w:type="pct"/>
            <w:gridSpan w:val="1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w:t>
            </w:r>
          </w:p>
          <w:p>
            <w:pPr>
              <w:pStyle w:val="0"/>
              <w:snapToGrid w:val="0"/>
              <w:jc w:val="center"/>
              <w:rPr>
                <w:rFonts w:hint="default" w:ascii="ＭＳ 明朝" w:hAnsi="ＭＳ 明朝"/>
                <w:sz w:val="21"/>
              </w:rPr>
            </w:pPr>
            <w:r>
              <w:rPr>
                <w:rFonts w:hint="eastAsia" w:ascii="ＭＳ 明朝" w:hAnsi="ＭＳ 明朝"/>
                <w:sz w:val="21"/>
              </w:rPr>
              <w:t>意見等</w:t>
            </w: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21"/>
              </w:rPr>
            </w:pPr>
            <w:r>
              <w:rPr>
                <w:rFonts w:hint="eastAsia" w:ascii="ＭＳ 明朝" w:hAnsi="ＭＳ 明朝"/>
                <w:sz w:val="21"/>
              </w:rPr>
              <w:t>評価の視点・</w:t>
            </w:r>
          </w:p>
          <w:p>
            <w:pPr>
              <w:pStyle w:val="0"/>
              <w:widowControl w:val="1"/>
              <w:snapToGrid w:val="0"/>
              <w:jc w:val="center"/>
              <w:rPr>
                <w:rFonts w:hint="default" w:ascii="ＭＳ 明朝" w:hAnsi="ＭＳ 明朝"/>
                <w:sz w:val="21"/>
              </w:rPr>
            </w:pPr>
            <w:r>
              <w:rPr>
                <w:rFonts w:hint="eastAsia" w:ascii="ＭＳ 明朝" w:hAnsi="ＭＳ 明朝"/>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18"/>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18"/>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よく</w:t>
            </w:r>
            <w:r>
              <w:rPr>
                <w:rFonts w:hint="default" w:ascii="ＭＳ 明朝" w:hAnsi="ＭＳ 明朝"/>
                <w:sz w:val="18"/>
              </w:rPr>
              <w:br w:type="textWrapping" w:clear="none"/>
            </w:r>
            <w:r>
              <w:rPr>
                <w:rFonts w:hint="eastAsia" w:ascii="ＭＳ 明朝" w:hAnsi="ＭＳ 明朝"/>
                <w:sz w:val="18"/>
              </w:rPr>
              <w:t>できて</w:t>
            </w:r>
          </w:p>
          <w:p>
            <w:pPr>
              <w:pStyle w:val="0"/>
              <w:snapToGrid w:val="0"/>
              <w:spacing w:line="240" w:lineRule="exact"/>
              <w:jc w:val="center"/>
              <w:rPr>
                <w:rFonts w:hint="default" w:ascii="ＭＳ 明朝" w:hAnsi="ＭＳ 明朝"/>
                <w:sz w:val="18"/>
              </w:rPr>
            </w:pPr>
            <w:r>
              <w:rPr>
                <w:rFonts w:hint="eastAsia" w:ascii="ＭＳ 明朝" w:hAnsi="ＭＳ 明朝"/>
                <w:sz w:val="18"/>
              </w:rPr>
              <w:t>いる</w:t>
            </w:r>
          </w:p>
        </w:tc>
        <w:tc>
          <w:tcPr>
            <w:tcW w:w="357"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おおよそ</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できている</w:t>
            </w:r>
          </w:p>
        </w:tc>
        <w:tc>
          <w:tcPr>
            <w:tcW w:w="356" w:type="pct"/>
            <w:gridSpan w:val="4"/>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あまりできていない</w:t>
            </w:r>
          </w:p>
        </w:tc>
        <w:tc>
          <w:tcPr>
            <w:tcW w:w="393" w:type="pct"/>
            <w:gridSpan w:val="4"/>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全く</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できていない</w:t>
            </w: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Ⅰ　事業運営の評価　［適切な事業運営］</w:t>
            </w:r>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理念等の明確化</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kern w:val="0"/>
              </w:rPr>
              <w:t>看護小規模多機能型居宅介護</w:t>
            </w:r>
            <w:r>
              <w:rPr>
                <w:rFonts w:hint="eastAsia" w:ascii="ＭＳ 明朝" w:hAnsi="ＭＳ 明朝"/>
              </w:rPr>
              <w:t>の特徴を踏まえた理念等の明確化とその実践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516"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p>
        </w:tc>
        <w:tc>
          <w:tcPr>
            <w:tcW w:w="1078"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5"/>
              </w:numPr>
              <w:ind w:leftChars="0"/>
              <w:rPr>
                <w:rFonts w:hint="default"/>
              </w:rPr>
            </w:pPr>
            <w:r>
              <w:rPr>
                <w:rFonts w:hint="eastAsia"/>
              </w:rPr>
              <w:t>①～⑤の全てを含む理念等がある場合は「よくできている」</w:t>
            </w:r>
          </w:p>
          <w:p>
            <w:pPr>
              <w:pStyle w:val="29"/>
              <w:numPr>
                <w:ilvl w:val="0"/>
                <w:numId w:val="5"/>
              </w:numPr>
              <w:ind w:leftChars="0"/>
              <w:rPr>
                <w:rFonts w:hint="default"/>
              </w:rPr>
            </w:pPr>
            <w:r>
              <w:rPr>
                <w:rFonts w:hint="eastAsia"/>
              </w:rPr>
              <w:t>①～⑤の一部を含む理念等が掲げられている場合は、「おおよそできている」もしくは「あまりできていない」</w:t>
            </w:r>
          </w:p>
          <w:p>
            <w:pPr>
              <w:pStyle w:val="29"/>
              <w:numPr>
                <w:ilvl w:val="0"/>
                <w:numId w:val="5"/>
              </w:numPr>
              <w:ind w:leftChars="0"/>
              <w:rPr>
                <w:rFonts w:hint="default"/>
              </w:rPr>
            </w:pPr>
            <w:r>
              <w:rPr>
                <w:rFonts w:hint="eastAsia"/>
              </w:rPr>
              <w:t>独自の理念等が明確化されていない場合は「全くできていない」</w:t>
            </w:r>
          </w:p>
          <w:p>
            <w:pPr>
              <w:pStyle w:val="0"/>
              <w:rPr>
                <w:rFonts w:hint="default"/>
              </w:rPr>
            </w:pPr>
          </w:p>
          <w:p>
            <w:pPr>
              <w:pStyle w:val="0"/>
              <w:rPr>
                <w:rFonts w:hint="default"/>
              </w:rPr>
            </w:pP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r>
              <w:rPr>
                <w:rFonts w:hint="eastAsia"/>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7"/>
              </w:numPr>
              <w:ind w:leftChars="0"/>
              <w:rPr>
                <w:rFonts w:hint="default"/>
              </w:rPr>
            </w:pPr>
            <w:r>
              <w:rPr>
                <w:rFonts w:hint="eastAsia"/>
              </w:rPr>
              <w:t>「サービスの特徴および理念等を踏まえた実践」の充足度を評価します</w:t>
            </w:r>
          </w:p>
          <w:p>
            <w:pPr>
              <w:pStyle w:val="29"/>
              <w:numPr>
                <w:ilvl w:val="0"/>
                <w:numId w:val="7"/>
              </w:numPr>
              <w:ind w:leftChars="0"/>
              <w:rPr>
                <w:rFonts w:hint="default"/>
              </w:rPr>
            </w:pPr>
            <w:r>
              <w:rPr>
                <w:rFonts w:hint="eastAsia"/>
              </w:rPr>
              <w:t>独自の理念等が明確化されていない場合は「全くできていない」</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869" w:hRule="atLeast"/>
        </w:trPr>
        <w:tc>
          <w:tcPr>
            <w:tcW w:w="172" w:type="pct"/>
            <w:vMerge w:val="continue"/>
            <w:tcBorders>
              <w:top w:val="single" w:color="808080" w:themeColor="background1" w:themeShade="80" w:sz="4"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single" w:color="808080" w:themeColor="background1" w:themeShade="80" w:sz="4" w:space="0"/>
              <w:left w:val="none" w:color="auto" w:sz="0" w:space="0"/>
              <w:bottom w:val="single" w:color="808080" w:sz="4"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人材の育成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専門技術の向上のための取組</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9"/>
              </w:numPr>
              <w:ind w:leftChars="0"/>
              <w:rPr>
                <w:rFonts w:hint="default"/>
              </w:rPr>
            </w:pPr>
            <w:r>
              <w:rPr>
                <w:rFonts w:hint="eastAsia"/>
              </w:rPr>
              <w:t>「育成計画の作成」の状況について、充足度を評価します</w:t>
            </w:r>
          </w:p>
          <w:p>
            <w:pPr>
              <w:pStyle w:val="29"/>
              <w:numPr>
                <w:ilvl w:val="0"/>
                <w:numId w:val="9"/>
              </w:numPr>
              <w:ind w:leftChars="0"/>
              <w:rPr>
                <w:rFonts w:hint="default"/>
              </w:rPr>
            </w:pPr>
            <w:r>
              <w:rPr>
                <w:rFonts w:hint="eastAsia"/>
              </w:rPr>
              <w:t>すべての職員について育成計画などを作成している場合は「よくできている」</w:t>
            </w:r>
          </w:p>
          <w:p>
            <w:pPr>
              <w:pStyle w:val="29"/>
              <w:numPr>
                <w:ilvl w:val="0"/>
                <w:numId w:val="9"/>
              </w:numPr>
              <w:ind w:leftChars="0"/>
              <w:rPr>
                <w:rFonts w:hint="default"/>
              </w:rPr>
            </w:pPr>
            <w:r>
              <w:rPr>
                <w:rFonts w:hint="eastAsia"/>
              </w:rPr>
              <w:t>育成計画などを作成していない場合は「全くできていない」</w:t>
            </w:r>
          </w:p>
        </w:tc>
      </w:tr>
      <w:tr>
        <w:trPr>
          <w:trHeight w:val="65"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default"/>
              </w:rPr>
            </w:pPr>
            <w:r>
              <w:rPr>
                <w:rFonts w:hint="eastAsia"/>
              </w:rPr>
              <w:t>「専門技術の向上のための日常業務以外での機会の確保」について、充足度を評価します</w:t>
            </w:r>
          </w:p>
          <w:p>
            <w:pPr>
              <w:pStyle w:val="0"/>
              <w:rPr>
                <w:rFonts w:hint="default"/>
              </w:rPr>
            </w:pPr>
          </w:p>
        </w:tc>
      </w:tr>
      <w:tr>
        <w:trPr>
          <w:trHeight w:val="79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介護職・看護職間の相互理解を深めるための機会の確保</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1"/>
              </w:numPr>
              <w:ind w:leftChars="0"/>
              <w:rPr>
                <w:rFonts w:hint="default"/>
              </w:rPr>
            </w:pPr>
            <w:r>
              <w:rPr>
                <w:rFonts w:hint="eastAsia"/>
              </w:rPr>
              <w:t>「情報を共有する機会」の充足度を評価します</w:t>
            </w:r>
          </w:p>
          <w:p>
            <w:pPr>
              <w:pStyle w:val="29"/>
              <w:numPr>
                <w:ilvl w:val="0"/>
                <w:numId w:val="11"/>
              </w:numPr>
              <w:ind w:leftChars="0"/>
              <w:rPr>
                <w:rFonts w:hint="default"/>
              </w:rPr>
            </w:pPr>
            <w:r>
              <w:rPr>
                <w:rFonts w:hint="eastAsia"/>
              </w:rPr>
              <w:t>例えば「利用者等の具体的なケースについて話し合うための、定期的なカンファレンスの開催」などが考えられます</w:t>
            </w:r>
          </w:p>
          <w:p>
            <w:pPr>
              <w:pStyle w:val="0"/>
              <w:rPr>
                <w:rFonts w:hint="default"/>
              </w:rPr>
            </w:pPr>
          </w:p>
        </w:tc>
      </w:tr>
      <w:tr>
        <w:trPr>
          <w:trHeight w:val="143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w:t>
            </w:r>
            <w:r>
              <w:rPr>
                <w:rFonts w:hint="default" w:ascii="HGPｺﾞｼｯｸE" w:hAnsi="HGPｺﾞｼｯｸE" w:eastAsia="HGPｺﾞｼｯｸE"/>
              </w:rPr>
              <w:t xml:space="preserve"> </w:t>
            </w:r>
            <w:r>
              <w:rPr>
                <w:rFonts w:hint="eastAsia" w:ascii="HGPｺﾞｼｯｸE" w:hAnsi="HGPｺﾞｼｯｸE" w:eastAsia="HGPｺﾞｼｯｸE"/>
              </w:rPr>
              <w:t>組織体制の構築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運営推進会議で得られた意見等の反映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運営推進会議で得られた要望、助言等を、サービスの提供等に反映させている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default"/>
              </w:rPr>
            </w:pPr>
            <w:r>
              <w:rPr>
                <w:rFonts w:hint="eastAsia"/>
              </w:rPr>
              <w:t>「得られた要望・助言等のサービスへの反映」の視点から、充足度を評価します</w:t>
            </w:r>
          </w:p>
          <w:p>
            <w:pPr>
              <w:pStyle w:val="0"/>
              <w:rPr>
                <w:rFonts w:hint="default"/>
              </w:rPr>
            </w:pPr>
          </w:p>
        </w:tc>
      </w:tr>
      <w:tr>
        <w:trPr>
          <w:trHeight w:val="102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職員が安心して働くことができる就業環境の整備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職員が、安心して働くことができる就業環境の整備に努めている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default"/>
              </w:rPr>
            </w:pPr>
            <w:r>
              <w:rPr>
                <w:rFonts w:hint="eastAsia"/>
              </w:rPr>
              <w:t>「職員が、安心して働くことのできる就業環境」の充足度を評価します</w:t>
            </w:r>
          </w:p>
          <w:p>
            <w:pPr>
              <w:pStyle w:val="29"/>
              <w:numPr>
                <w:ilvl w:val="0"/>
                <w:numId w:val="14"/>
              </w:numPr>
              <w:ind w:leftChars="0"/>
              <w:rPr>
                <w:rFonts w:hint="default"/>
              </w:rPr>
            </w:pPr>
            <w:r>
              <w:rPr>
                <w:rFonts w:hint="eastAsia"/>
              </w:rPr>
              <w:t>例えば、「職員の能力向上の支援」、「精神的な負担の軽減のための支援」、「労働時間への配慮」などが考えられます</w:t>
            </w: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w:t>
            </w:r>
            <w:r>
              <w:rPr>
                <w:rFonts w:hint="default" w:ascii="HGPｺﾞｼｯｸE" w:hAnsi="HGPｺﾞｼｯｸE" w:eastAsia="HGPｺﾞｼｯｸE"/>
              </w:rPr>
              <w:t xml:space="preserve"> </w:t>
            </w:r>
            <w:r>
              <w:rPr>
                <w:rFonts w:hint="eastAsia" w:ascii="HGPｺﾞｼｯｸE" w:hAnsi="HGPｺﾞｼｯｸE" w:eastAsia="HGPｺﾞｼｯｸE"/>
              </w:rPr>
              <w:t>情報提供・共有のための基盤整備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利用者等の状況に係る情報の随時更新・共有のための環境整備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利用者等の情報について、随時更新を行うとともに、必要に応じて職員間で迅速に共有できるよう工夫されている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「情報の随時の更新」と「職員間で迅速に共有するための工夫」の２つの視点から、充足度を評価します</w:t>
            </w:r>
          </w:p>
          <w:p>
            <w:pPr>
              <w:pStyle w:val="0"/>
              <w:rPr>
                <w:rFonts w:hint="default"/>
              </w:rPr>
            </w:pPr>
          </w:p>
        </w:tc>
      </w:tr>
      <w:tr>
        <w:trPr>
          <w:trHeight w:val="8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（５）</w:t>
            </w:r>
            <w:r>
              <w:rPr>
                <w:rFonts w:hint="eastAsia" w:ascii="HGPｺﾞｼｯｸE" w:hAnsi="HGPｺﾞｼｯｸE" w:eastAsia="HGPｺﾞｼｯｸE"/>
              </w:rPr>
              <w:t xml:space="preserve"> </w:t>
            </w:r>
            <w:r>
              <w:rPr>
                <w:rFonts w:hint="eastAsia" w:ascii="HGPｺﾞｼｯｸE" w:hAnsi="HGPｺﾞｼｯｸE" w:eastAsia="HGPｺﾞｼｯｸE"/>
              </w:rPr>
              <w:t>安全管理の徹底</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6"/>
              </w:numPr>
              <w:ind w:leftChars="0"/>
              <w:rPr>
                <w:rFonts w:hint="default"/>
              </w:rPr>
            </w:pPr>
            <w:r>
              <w:rPr>
                <w:rFonts w:hint="eastAsia"/>
              </w:rPr>
              <w:t>「各種の事故に対する予防・対策」の充足度を評価します</w:t>
            </w:r>
          </w:p>
          <w:p>
            <w:pPr>
              <w:pStyle w:val="0"/>
              <w:ind w:left="212" w:leftChars="100"/>
              <w:rPr>
                <w:rFonts w:hint="default"/>
              </w:rPr>
            </w:pPr>
            <w:r>
              <w:rPr>
                <w:rFonts w:hint="eastAsia"/>
                <w:sz w:val="21"/>
              </w:rPr>
              <w:t>対策が求められる事項としては、例えば「医療・ケア事故の予防・対策」、「交通安全」、「夜間訪問時の防犯対策」、「個人情報保護」などが考えられます</w:t>
            </w:r>
          </w:p>
        </w:tc>
      </w:tr>
      <w:tr>
        <w:trPr>
          <w:trHeight w:val="132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ind w:left="212" w:leftChars="10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災害等の緊急時の体制の構築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68"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72" w:type="pct"/>
            <w:gridSpan w:val="3"/>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default"/>
              </w:rPr>
            </w:pPr>
            <w:r>
              <w:rPr>
                <w:rFonts w:hint="eastAsia"/>
              </w:rPr>
              <w:t>「緊急時におけるサービス提供のための備え」について、充足度を評価します</w:t>
            </w:r>
          </w:p>
          <w:p>
            <w:pPr>
              <w:pStyle w:val="29"/>
              <w:numPr>
                <w:ilvl w:val="0"/>
                <w:numId w:val="17"/>
              </w:numPr>
              <w:ind w:leftChars="0"/>
              <w:rPr>
                <w:rFonts w:hint="default"/>
              </w:rPr>
            </w:pPr>
            <w:r>
              <w:rPr>
                <w:rFonts w:hint="eastAsia"/>
              </w:rPr>
              <w:t>例えば、「安否確認方法の明確化」、「連絡先リストの作成」、「医療材料などの確保」、「災害時ケアのマニュアル化」などが考えられます</w:t>
            </w:r>
          </w:p>
          <w:p>
            <w:pPr>
              <w:pStyle w:val="0"/>
              <w:rPr>
                <w:rFonts w:hint="default"/>
              </w:rPr>
            </w:pPr>
          </w:p>
        </w:tc>
      </w:tr>
      <w:tr>
        <w:trPr>
          <w:trHeight w:val="119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1" w:type="pct"/>
            <w:gridSpan w:val="10"/>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72" w:type="pct"/>
            <w:gridSpan w:val="3"/>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Ⅱ　サービス提供等の評価</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bookmarkStart w:id="2" w:name="_Hlk413263516"/>
            <w:r>
              <w:rPr>
                <w:rFonts w:hint="eastAsia" w:ascii="HGPｺﾞｼｯｸE" w:hAnsi="HGPｺﾞｼｯｸE" w:eastAsia="HGPｺﾞｼｯｸE"/>
              </w:rPr>
              <w:t>利用者等の特性・変化に応じた専門的なサービス提供</w:t>
            </w:r>
            <w:bookmarkEnd w:id="2"/>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利用者等の状況把握及びアセスメントに基づく計画の作成</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利用者等の</w:t>
            </w:r>
            <w:r>
              <w:rPr>
                <w:rFonts w:hint="default"/>
                <w:kern w:val="0"/>
              </w:rPr>
              <w:t>24</w:t>
            </w:r>
            <w:r>
              <w:rPr>
                <w:rFonts w:hint="eastAsia"/>
                <w:kern w:val="0"/>
              </w:rPr>
              <w:t>時間の暮らし全体に着目した、介護・看護両面からの一体的なアセスメントの実施</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8"/>
              </w:numPr>
              <w:ind w:leftChars="0"/>
              <w:rPr>
                <w:rFonts w:hint="default"/>
              </w:rPr>
            </w:pPr>
            <w:r>
              <w:rPr>
                <w:rFonts w:hint="eastAsia"/>
              </w:rPr>
              <w:t>「家族等も含めた</w:t>
            </w:r>
            <w:r>
              <w:rPr>
                <w:rFonts w:hint="eastAsia"/>
              </w:rPr>
              <w:t>24</w:t>
            </w:r>
            <w:r>
              <w:rPr>
                <w:rFonts w:hint="eastAsia"/>
              </w:rPr>
              <w:t>時間の暮らし全体に着目したアセスメント」の充足度を評価します</w:t>
            </w:r>
          </w:p>
          <w:p>
            <w:pPr>
              <w:pStyle w:val="29"/>
              <w:numPr>
                <w:ilvl w:val="0"/>
                <w:numId w:val="18"/>
              </w:numPr>
              <w:ind w:leftChars="0"/>
              <w:rPr>
                <w:rFonts w:hint="default"/>
              </w:rPr>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12</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介護職と看護職がそれぞれの視点から実施したアセスメントの結果が、両職種の間で共有されている</w:t>
            </w: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default"/>
              </w:rPr>
            </w:pPr>
            <w:r>
              <w:rPr>
                <w:rFonts w:hint="eastAsia"/>
              </w:rPr>
              <w:t>「介護職と看護職間でのアセスメント結果の共有」について、充足度を評価します</w:t>
            </w:r>
          </w:p>
          <w:p>
            <w:pPr>
              <w:pStyle w:val="29"/>
              <w:numPr>
                <w:ilvl w:val="0"/>
                <w:numId w:val="19"/>
              </w:numPr>
              <w:ind w:leftChars="0"/>
              <w:rPr>
                <w:rFonts w:hint="default"/>
              </w:rPr>
            </w:pPr>
            <w:r>
              <w:rPr>
                <w:rFonts w:hint="eastAsia"/>
              </w:rPr>
              <w:t>介護・看護の両面から行われたアセスメントの結果は、その後のつき合わせなどを通じて、両職種で共有されることが望ましいといえます</w:t>
            </w:r>
          </w:p>
        </w:tc>
      </w:tr>
      <w:tr>
        <w:trPr>
          <w:trHeight w:val="78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1</w:t>
            </w: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rPr>
          <w:trHeight w:val="219"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利用者の有する能力を最大限に活かした、「心身の機能の維持回復」「生活機能の維持又は向上」を目指すことを重視した計画が作成されている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1"/>
              </w:numPr>
              <w:ind w:leftChars="0"/>
              <w:rPr>
                <w:rFonts w:hint="default"/>
              </w:rPr>
            </w:pPr>
            <w:r>
              <w:rPr>
                <w:rFonts w:hint="eastAsia"/>
              </w:rPr>
              <w:t>「利用者の有する能力を活かした、心身機能の維持回復を重視した計画の作成」について、充足度を評価します</w:t>
            </w:r>
          </w:p>
          <w:p>
            <w:pPr>
              <w:pStyle w:val="29"/>
              <w:numPr>
                <w:ilvl w:val="0"/>
                <w:numId w:val="21"/>
              </w:numPr>
              <w:ind w:leftChars="0"/>
              <w:rPr>
                <w:rFonts w:hint="default"/>
              </w:rPr>
            </w:pPr>
            <w:r>
              <w:rPr>
                <w:rFonts w:hint="eastAsia"/>
              </w:rPr>
              <w:t>「利用者が尊厳を持って、その有する能力に応じ地域において自立した日常生活を営む」ために、必要な視点であるといえます</w:t>
            </w:r>
          </w:p>
        </w:tc>
      </w:tr>
      <w:tr>
        <w:trPr>
          <w:trHeight w:val="10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利用者の今後の状況変化の予測と、リスク管理を踏まえた計画が作成されている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「状況変化の予測」と「リスク管理」の２つの視点から、充足度を評価します</w:t>
            </w:r>
          </w:p>
          <w:p>
            <w:pPr>
              <w:pStyle w:val="29"/>
              <w:numPr>
                <w:ilvl w:val="0"/>
                <w:numId w:val="20"/>
              </w:numPr>
              <w:ind w:leftChars="0"/>
              <w:rPr>
                <w:rFonts w:hint="default"/>
              </w:rPr>
            </w:pPr>
            <w:r>
              <w:rPr>
                <w:rFonts w:hint="eastAsia"/>
              </w:rPr>
              <w:t>介護・看護が一体的に提供される看護小規模多機能型居宅介護においては、特に看護職による予後予測などを踏まえて計画を作成することが重要です</w:t>
            </w:r>
          </w:p>
        </w:tc>
      </w:tr>
      <w:tr>
        <w:trPr>
          <w:trHeight w:val="79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利用者等の状況変化への迅速な対応とケアマネジメントの実践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kern w:val="0"/>
              </w:rPr>
              <w:t>①</w:t>
            </w:r>
            <w:r>
              <w:rPr>
                <w:rFonts w:hint="default" w:ascii="ＭＳ 明朝" w:hAnsi="ＭＳ 明朝"/>
                <w:kern w:val="0"/>
              </w:rPr>
              <w:t xml:space="preserve"> </w:t>
            </w:r>
            <w:r>
              <w:rPr>
                <w:rFonts w:hint="eastAsia" w:ascii="ＭＳ 明朝" w:hAnsi="ＭＳ 明朝"/>
                <w:kern w:val="0"/>
              </w:rPr>
              <w:t>継続したアセスメントを通じた、利用者等の状況変化の早期把握と計画への反映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サービス提供を通じた継続的なアセスメントにより、利用者等の状況変化を早期に把握し、計画への適宜反映が行われている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「早期の把握」と「計画への適宜反映」の２つの視点から、充足度を評価します</w:t>
            </w:r>
          </w:p>
          <w:p>
            <w:pPr>
              <w:pStyle w:val="0"/>
              <w:rPr>
                <w:rFonts w:hint="default"/>
              </w:rPr>
            </w:pPr>
          </w:p>
        </w:tc>
      </w:tr>
      <w:tr>
        <w:trPr>
          <w:trHeight w:val="51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kern w:val="0"/>
              </w:rPr>
              <w:t>②</w:t>
            </w:r>
            <w:r>
              <w:rPr>
                <w:rFonts w:hint="default"/>
                <w:kern w:val="0"/>
              </w:rPr>
              <w:t xml:space="preserve"> </w:t>
            </w:r>
            <w:r>
              <w:rPr>
                <w:rFonts w:hint="eastAsia"/>
                <w:kern w:val="0"/>
              </w:rPr>
              <w:t>居宅への訪問を含む、利用者等の暮らし全体に着目したアセスメントの実施と計画への反映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jc w:val="left"/>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17</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「訪問による、家族等を含めた居宅での生活状況の変化の継続的な把握」という視点から、充足度を評価します</w:t>
            </w:r>
          </w:p>
          <w:p>
            <w:pPr>
              <w:pStyle w:val="29"/>
              <w:numPr>
                <w:ilvl w:val="0"/>
                <w:numId w:val="20"/>
              </w:numPr>
              <w:ind w:leftChars="0"/>
              <w:rPr>
                <w:rFonts w:hint="default"/>
              </w:rPr>
            </w:pPr>
            <w:r>
              <w:rPr>
                <w:rFonts w:hint="eastAsia"/>
              </w:rPr>
              <w:t>訪問によるケアの提供は、家族等を含めた居宅での生活状況を把握するためにも重要です</w:t>
            </w:r>
          </w:p>
        </w:tc>
      </w:tr>
      <w:tr>
        <w:trPr>
          <w:trHeight w:val="64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利用者等の状況変化や目標の達成状況等に関する関係多職種との情報共有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利用者等の状況変化や目標の達成状況等について、主治医など、事業所内外を含む関係多職種と情報が共有されている</w:t>
            </w: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「利用者等の状況変化や目標の達成状況等の事業所内外を含む関係多職種との情報共有」について、充足度を評価します</w:t>
            </w:r>
          </w:p>
        </w:tc>
      </w:tr>
      <w:tr>
        <w:trPr>
          <w:trHeight w:val="56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（３）介護職・看護職の協働による一体的なサービスの提供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19</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2"/>
              </w:numPr>
              <w:ind w:leftChars="0"/>
              <w:rPr>
                <w:rFonts w:hint="default"/>
              </w:rPr>
            </w:pPr>
            <w:r>
              <w:rPr>
                <w:rFonts w:hint="eastAsia"/>
              </w:rPr>
              <w:t>「介護職と看護職の専門性を活かした役割分担」について、充足度を評価します</w:t>
            </w:r>
          </w:p>
          <w:p>
            <w:pPr>
              <w:pStyle w:val="29"/>
              <w:numPr>
                <w:ilvl w:val="0"/>
                <w:numId w:val="20"/>
              </w:numPr>
              <w:ind w:leftChars="0"/>
              <w:rPr>
                <w:rFonts w:hint="default"/>
              </w:rPr>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1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20</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利用者等の状況について、介護職と看護職が互いに情報を共有し対応策を検討するなど、両職種間の連携が行われている</w:t>
            </w:r>
          </w:p>
          <w:p>
            <w:pPr>
              <w:pStyle w:val="0"/>
              <w:rPr>
                <w:rFonts w:hint="default" w:ascii="ＭＳ Ｐゴシック" w:hAnsi="ＭＳ Ｐゴシック" w:eastAsia="ＭＳ Ｐゴシック"/>
                <w:u w:val="single" w:color="auto"/>
              </w:rPr>
            </w:pPr>
          </w:p>
          <w:p>
            <w:pPr>
              <w:pStyle w:val="0"/>
              <w:rPr>
                <w:rFonts w:hint="default"/>
              </w:rPr>
            </w:pP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「介護職と看護職の情報共有および対応策の検討」について、充足度を評価します</w:t>
            </w:r>
          </w:p>
        </w:tc>
      </w:tr>
      <w:tr>
        <w:trPr>
          <w:trHeight w:val="633"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看護職から介護職への情報提供および提案</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21</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3"/>
              </w:numPr>
              <w:ind w:leftChars="0"/>
              <w:rPr>
                <w:rFonts w:hint="default"/>
              </w:rPr>
            </w:pPr>
            <w:r>
              <w:rPr>
                <w:rFonts w:hint="eastAsia"/>
              </w:rPr>
              <w:t>「看護職の専門性を活かした、介護職への情報提供や提案等」について、充足度を評価します</w:t>
            </w:r>
          </w:p>
          <w:p>
            <w:pPr>
              <w:pStyle w:val="29"/>
              <w:numPr>
                <w:ilvl w:val="0"/>
                <w:numId w:val="23"/>
              </w:numPr>
              <w:ind w:leftChars="0"/>
              <w:rPr>
                <w:rFonts w:hint="default"/>
              </w:rPr>
            </w:pPr>
            <w:r>
              <w:rPr>
                <w:rFonts w:hint="eastAsia"/>
              </w:rPr>
              <w:t>このような情報提供や提案等は、看護職の専門性を活かした役割の１つとして期待されます</w:t>
            </w:r>
          </w:p>
          <w:p>
            <w:pPr>
              <w:pStyle w:val="0"/>
              <w:rPr>
                <w:rFonts w:hint="default"/>
              </w:rPr>
            </w:pPr>
          </w:p>
        </w:tc>
      </w:tr>
      <w:tr>
        <w:trPr>
          <w:trHeight w:val="744"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（４）利用者等との情報及び意識の共有</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22</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135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利用者等への「在宅での療養生活」に係る指導・説明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default"/>
              </w:rPr>
            </w:pPr>
            <w:r>
              <w:rPr>
                <w:rFonts w:hint="eastAsia"/>
              </w:rPr>
              <w:t>「利用者等の理解」について、充足度を評価します</w:t>
            </w:r>
          </w:p>
          <w:p>
            <w:pPr>
              <w:pStyle w:val="0"/>
              <w:rPr>
                <w:rFonts w:hint="default"/>
              </w:rPr>
            </w:pPr>
          </w:p>
        </w:tc>
      </w:tr>
      <w:tr>
        <w:trPr>
          <w:trHeight w:val="1065" w:hRule="atLeast"/>
        </w:trPr>
        <w:tc>
          <w:tcPr>
            <w:tcW w:w="172" w:type="pct"/>
            <w:vMerge w:val="continue"/>
            <w:tcBorders>
              <w:top w:val="none" w:color="auto" w:sz="0" w:space="0"/>
              <w:left w:val="none" w:color="auto" w:sz="0" w:space="0"/>
              <w:bottom w:val="single" w:color="808080" w:sz="6"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r>
      <w:tr>
        <w:trPr>
          <w:trHeight w:val="298"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11" w:type="pct"/>
            <w:gridSpan w:val="6"/>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6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kern w:val="0"/>
              </w:rPr>
              <w:t>③</w:t>
            </w:r>
            <w:r>
              <w:rPr>
                <w:rFonts w:hint="default"/>
                <w:kern w:val="0"/>
              </w:rPr>
              <w:t xml:space="preserve"> </w:t>
            </w:r>
            <w:r>
              <w:rPr>
                <w:rFonts w:hint="eastAsia"/>
                <w:kern w:val="0"/>
              </w:rPr>
              <w:t>重度化した場合や終末期における対応方針の、利用者等との相談と共有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「サービス提供への適切な反映」について、充足度を評価します</w:t>
            </w:r>
          </w:p>
          <w:p>
            <w:pPr>
              <w:pStyle w:val="0"/>
              <w:rPr>
                <w:rFonts w:hint="default"/>
              </w:rPr>
            </w:pPr>
          </w:p>
          <w:p>
            <w:pPr>
              <w:pStyle w:val="0"/>
              <w:rPr>
                <w:rFonts w:hint="default"/>
              </w:rPr>
            </w:pPr>
          </w:p>
          <w:p>
            <w:pPr>
              <w:pStyle w:val="0"/>
              <w:rPr>
                <w:rFonts w:hint="default"/>
              </w:rPr>
            </w:pPr>
          </w:p>
        </w:tc>
      </w:tr>
      <w:tr>
        <w:trPr>
          <w:trHeight w:val="622"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「将来に発生し得る様々なリスクを想定した上での、対応策の検討と共有」について、充足度を評価します</w:t>
            </w:r>
          </w:p>
          <w:p>
            <w:pPr>
              <w:pStyle w:val="0"/>
              <w:rPr>
                <w:rFonts w:hint="default"/>
              </w:rPr>
            </w:pPr>
          </w:p>
        </w:tc>
      </w:tr>
      <w:tr>
        <w:trPr>
          <w:trHeight w:val="74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27</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終末期ケアにおいて、利用者等に適切な時期を見計らって、予後および死までの経過を丁寧に説明し、説明した内容や利用者等の意向等を記録として残している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rPr>
            </w:pPr>
          </w:p>
          <w:p>
            <w:pPr>
              <w:pStyle w:val="0"/>
              <w:widowControl w:val="1"/>
              <w:rPr>
                <w:rFonts w:hint="default"/>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「予後および死までの経過の説明」と「記録の有無」の２つの視点から、充足度を評価します</w:t>
            </w:r>
          </w:p>
          <w:p>
            <w:pPr>
              <w:pStyle w:val="29"/>
              <w:numPr>
                <w:ilvl w:val="0"/>
                <w:numId w:val="25"/>
              </w:numPr>
              <w:ind w:leftChars="0"/>
              <w:rPr>
                <w:rFonts w:hint="default"/>
              </w:rPr>
            </w:pPr>
            <w:r>
              <w:rPr>
                <w:rFonts w:hint="eastAsia"/>
              </w:rPr>
              <w:t>「丁寧に説明し」且つ「記録として残している」場合は「よくできている」</w:t>
            </w:r>
          </w:p>
          <w:p>
            <w:pPr>
              <w:pStyle w:val="0"/>
              <w:rPr>
                <w:rFonts w:hint="default"/>
              </w:rPr>
            </w:pPr>
          </w:p>
        </w:tc>
      </w:tr>
      <w:tr>
        <w:trPr>
          <w:trHeight w:val="7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２．多機関・多職種との連携</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病院・施設等との連携による円滑で切れ目のないケアの提供</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28</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07" w:type="pct"/>
            <w:gridSpan w:val="5"/>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7"/>
              </w:numPr>
              <w:ind w:leftChars="0"/>
              <w:rPr>
                <w:rFonts w:hint="default"/>
              </w:rPr>
            </w:pPr>
            <w:r>
              <w:rPr>
                <w:rFonts w:hint="eastAsia"/>
              </w:rPr>
              <w:t>「利用者の円滑な在宅生活への移行」について、充足度を評価します</w:t>
            </w:r>
          </w:p>
          <w:p>
            <w:pPr>
              <w:pStyle w:val="29"/>
              <w:numPr>
                <w:ilvl w:val="0"/>
                <w:numId w:val="20"/>
              </w:numPr>
              <w:ind w:leftChars="0"/>
              <w:rPr>
                <w:rFonts w:hint="default"/>
              </w:rPr>
            </w:pPr>
            <w:r>
              <w:rPr>
                <w:rFonts w:hint="eastAsia"/>
              </w:rPr>
              <w:t>例えば、「退院・退所前のカンファレンスへの参加」、「利用者等に係る病院・施設等との継続した情報共有」などの取組が考えられます</w:t>
            </w:r>
          </w:p>
        </w:tc>
      </w:tr>
      <w:tr>
        <w:trPr>
          <w:trHeight w:val="8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kern w:val="0"/>
              </w:rPr>
              <w:t>入院・入所の可能性がある利用者についての、主治医等との対応方針の共有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すべての利用者について、緊急時の対応方針等を、主治医等と相談・共有することができている</w:t>
            </w:r>
          </w:p>
        </w:tc>
        <w:tc>
          <w:tcPr>
            <w:tcW w:w="360"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73" w:type="pct"/>
            <w:gridSpan w:val="2"/>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「緊急時の対応方針等の主治医等との相談・共有」を評価します</w:t>
            </w:r>
          </w:p>
          <w:p>
            <w:pPr>
              <w:pStyle w:val="29"/>
              <w:numPr>
                <w:ilvl w:val="0"/>
                <w:numId w:val="26"/>
              </w:numPr>
              <w:ind w:leftChars="0"/>
              <w:rPr>
                <w:rFonts w:hint="default"/>
              </w:rPr>
            </w:pPr>
            <w:r>
              <w:rPr>
                <w:rFonts w:hint="eastAsia"/>
              </w:rPr>
              <w:t>利用者の状態変化・家族等介護者の状況の変化など、実際に発生する前の段階から予め対応方針等を主治医等と相談・共有しておくことが重要です</w:t>
            </w:r>
          </w:p>
        </w:tc>
      </w:tr>
      <w:tr>
        <w:trPr>
          <w:trHeight w:val="6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kern w:val="0"/>
              </w:rPr>
              <w:t>③</w:t>
            </w:r>
            <w:r>
              <w:rPr>
                <w:rFonts w:hint="default"/>
                <w:kern w:val="0"/>
              </w:rPr>
              <w:t xml:space="preserve"> </w:t>
            </w:r>
            <w:r>
              <w:rPr>
                <w:rFonts w:hint="eastAsia"/>
                <w:kern w:val="0"/>
              </w:rPr>
              <w:t>地域の医療機関等との連携による、急変時・休日夜間等に対応可能な体制の構築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30</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地域の医療機関等との連携により、休日夜間等を含めて、すべての利用者について、急変時に即座に対応が可能な体制が構築されている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8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「即座な対応が可能な体制の構築」について、充足度を評価します</w:t>
            </w:r>
          </w:p>
        </w:tc>
      </w:tr>
      <w:tr>
        <w:trPr>
          <w:trHeight w:val="6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27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eastAsia" w:ascii="HGPｺﾞｼｯｸE" w:hAnsi="HGPｺﾞｼｯｸE" w:eastAsia="HGPｺﾞｼｯｸE"/>
              </w:rPr>
              <w:t xml:space="preserve"> </w:t>
            </w:r>
            <w:r>
              <w:rPr>
                <w:rFonts w:hint="eastAsia" w:ascii="HGPｺﾞｼｯｸE" w:hAnsi="HGPｺﾞｼｯｸE" w:eastAsia="HGPｺﾞｼｯｸE"/>
              </w:rPr>
              <w:t>多職種との連携体制の構築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default"/>
              </w:rPr>
            </w:pPr>
            <w:r>
              <w:rPr>
                <w:rFonts w:hint="eastAsia"/>
              </w:rPr>
              <w:t>そのような取組をしたいことがない場合は「全くできていない」</w:t>
            </w:r>
          </w:p>
          <w:p>
            <w:pPr>
              <w:pStyle w:val="29"/>
              <w:numPr>
                <w:ilvl w:val="0"/>
                <w:numId w:val="20"/>
              </w:numPr>
              <w:ind w:leftChars="0"/>
              <w:rPr>
                <w:rFonts w:hint="default"/>
              </w:rPr>
            </w:pPr>
            <w:r>
              <w:rPr>
                <w:rFonts w:hint="eastAsia"/>
              </w:rPr>
              <w:t>民生委員のみでなく、自治会長や町会長などの住民代表も対象です</w:t>
            </w:r>
          </w:p>
        </w:tc>
      </w:tr>
      <w:tr>
        <w:trPr>
          <w:trHeight w:val="115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80" w:hRule="atLeast"/>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３．誰でも安心して暮らせるまちづくりへの参画</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80" w:hRule="atLeast"/>
        </w:trPr>
        <w:tc>
          <w:tcPr>
            <w:tcW w:w="3753" w:type="pct"/>
            <w:gridSpan w:val="15"/>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地域への積極的な情報発信及び提案</w:t>
            </w: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80" w:hRule="atLeast"/>
        </w:trPr>
        <w:tc>
          <w:tcPr>
            <w:tcW w:w="2706" w:type="pct"/>
            <w:gridSpan w:val="14"/>
            <w:tcBorders>
              <w:top w:val="single" w:color="808080" w:sz="6" w:space="0"/>
              <w:left w:val="none" w:color="auto" w:sz="0"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color="808080" w:sz="6" w:space="0"/>
              <w:left w:val="single" w:color="808080" w:themeColor="background1" w:themeShade="80" w:sz="4" w:space="0"/>
              <w:bottom w:val="single" w:color="808080" w:sz="4"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32</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運営推進会議の記録について、誰でも見ることができるような方法での情報発信が、迅速に行われている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「誰でも見ることができる方法での情報発信」と「迅速な情報発信」の２つの視点から、充足度を評価します</w:t>
            </w:r>
          </w:p>
          <w:p>
            <w:pPr>
              <w:pStyle w:val="0"/>
              <w:rPr>
                <w:rFonts w:hint="default"/>
              </w:rPr>
            </w:pPr>
          </w:p>
        </w:tc>
      </w:tr>
      <w:tr>
        <w:trPr>
          <w:trHeight w:val="1159"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9"/>
              </w:numPr>
              <w:ind w:leftChars="0"/>
              <w:rPr>
                <w:rFonts w:hint="default"/>
              </w:rPr>
            </w:pPr>
            <w:r>
              <w:rPr>
                <w:rFonts w:hint="eastAsia"/>
              </w:rPr>
              <w:t>「積極的な啓発活動」について、評価する項目です</w:t>
            </w:r>
          </w:p>
          <w:p>
            <w:pPr>
              <w:pStyle w:val="29"/>
              <w:numPr>
                <w:ilvl w:val="0"/>
                <w:numId w:val="29"/>
              </w:numPr>
              <w:ind w:leftChars="0"/>
              <w:rPr>
                <w:rFonts w:hint="default"/>
              </w:rPr>
            </w:pPr>
            <w:r>
              <w:rPr>
                <w:rFonts w:hint="eastAsia"/>
              </w:rPr>
              <w:t>例として、「チラシ等の配布」や「地域説明会の実施」などの取組が考えられます。</w:t>
            </w:r>
          </w:p>
          <w:p>
            <w:pPr>
              <w:pStyle w:val="29"/>
              <w:numPr>
                <w:ilvl w:val="0"/>
                <w:numId w:val="20"/>
              </w:numPr>
              <w:ind w:leftChars="0"/>
              <w:rPr>
                <w:rFonts w:hint="default"/>
              </w:rPr>
            </w:pPr>
            <w:r>
              <w:rPr>
                <w:rFonts w:hint="eastAsia"/>
              </w:rPr>
              <w:t>利用者や職員の確保のみを目的とした活動等は除きます</w:t>
            </w:r>
          </w:p>
        </w:tc>
      </w:tr>
      <w:tr>
        <w:trPr>
          <w:trHeight w:val="84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kern w:val="0"/>
              </w:rPr>
              <w:t>（２）</w:t>
            </w:r>
            <w:r>
              <w:rPr>
                <w:rFonts w:hint="default" w:ascii="HGPｺﾞｼｯｸE" w:hAnsi="HGPｺﾞｼｯｸE" w:eastAsia="HGPｺﾞｼｯｸE"/>
                <w:kern w:val="0"/>
              </w:rPr>
              <w:t xml:space="preserve"> </w:t>
            </w:r>
            <w:r>
              <w:rPr>
                <w:rFonts w:hint="eastAsia" w:ascii="HGPｺﾞｼｯｸE" w:hAnsi="HGPｺﾞｼｯｸE" w:eastAsia="HGPｺﾞｼｯｸE"/>
                <w:kern w:val="0"/>
              </w:rPr>
              <w:t>医療ニーズの高い利用者の在宅での療養生活を支える、地域拠点としての機能の発揮</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0"/>
              </w:numPr>
              <w:ind w:leftChars="0"/>
              <w:rPr>
                <w:rFonts w:hint="default"/>
              </w:rPr>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pPr>
              <w:pStyle w:val="29"/>
              <w:numPr>
                <w:ilvl w:val="0"/>
                <w:numId w:val="30"/>
              </w:numPr>
              <w:ind w:leftChars="0"/>
              <w:rPr>
                <w:rFonts w:hint="default"/>
              </w:rPr>
            </w:pPr>
            <w:r>
              <w:rPr>
                <w:rFonts w:hint="eastAsia"/>
              </w:rPr>
              <w:t>「登録者以外を対象とした訪問看護」を実施してないていない場合は、「全くできていない」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85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医療ニーズの高い要介護者の積極的な受け入れ</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35</w:t>
            </w:r>
          </w:p>
          <w:p>
            <w:pPr>
              <w:pStyle w:val="0"/>
              <w:jc w:val="center"/>
              <w:rPr>
                <w:rFonts w:hint="default" w:ascii="ＭＳ ゴシック" w:hAnsi="ＭＳ ゴシック" w:eastAsia="ＭＳ ゴシック"/>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3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「人工呼吸器」を必要とする要介護者を受け入れることができる体制が整っており、積極的に受け入れている</w:t>
            </w:r>
          </w:p>
          <w:p>
            <w:pPr>
              <w:pStyle w:val="0"/>
              <w:rPr>
                <w:rFonts w:hint="default"/>
              </w:rPr>
            </w:pP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1473"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「看取り支援」を必要とする要介護者を受け入れることができる体制が整っており、積極的に受け入れている</w:t>
            </w: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92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ascii="HGPｺﾞｼｯｸE" w:hAnsi="HGPｺﾞｼｯｸE" w:eastAsia="HGPｺﾞｼｯｸE"/>
              </w:rPr>
              <w:t>（３）</w:t>
            </w:r>
            <w:r>
              <w:rPr>
                <w:rFonts w:hint="eastAsia" w:ascii="HGPｺﾞｼｯｸE" w:hAnsi="HGPｺﾞｼｯｸE" w:eastAsia="HGPｺﾞｼｯｸE"/>
              </w:rPr>
              <w:t xml:space="preserve"> </w:t>
            </w:r>
            <w:r>
              <w:rPr>
                <w:rFonts w:hint="eastAsia" w:ascii="HGPｺﾞｼｯｸE" w:hAnsi="HGPｺﾞｼｯｸE" w:eastAsia="HGPｺﾞｼｯｸE"/>
              </w:rPr>
              <w:t>地域包括ケアシステムの構築に向けての、まちづくりへの参画</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行政の地域包括ケアシステム構築に係る方針や計画の理解</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3</w:t>
            </w: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default"/>
              </w:rPr>
            </w:pPr>
            <w:r>
              <w:rPr>
                <w:rFonts w:hint="eastAsia"/>
              </w:rPr>
              <w:t>「内容等の理解」について、その充足度を評価します</w:t>
            </w:r>
          </w:p>
          <w:p>
            <w:pPr>
              <w:pStyle w:val="29"/>
              <w:numPr>
                <w:ilvl w:val="0"/>
                <w:numId w:val="32"/>
              </w:numPr>
              <w:ind w:leftChars="0"/>
              <w:rPr>
                <w:rFonts w:hint="default"/>
              </w:rPr>
            </w:pPr>
            <w:r>
              <w:rPr>
                <w:rFonts w:hint="eastAsia"/>
              </w:rPr>
              <w:t>地域包括ケアシステムの構築にあたっては、その中で各々が果たすべき役割を、明確に理解することが必要であるといえます</w:t>
            </w:r>
          </w:p>
          <w:p>
            <w:pPr>
              <w:pStyle w:val="29"/>
              <w:numPr>
                <w:ilvl w:val="0"/>
                <w:numId w:val="32"/>
              </w:numPr>
              <w:ind w:leftChars="0"/>
              <w:rPr>
                <w:rFonts w:hint="default"/>
              </w:rPr>
            </w:pPr>
            <w:r>
              <w:rPr>
                <w:rFonts w:hint="eastAsia"/>
              </w:rPr>
              <w:t>地域包括ケアシステムの構築方針や計画などがない場合は、「全くできていない」</w:t>
            </w:r>
          </w:p>
          <w:p>
            <w:pPr>
              <w:pStyle w:val="0"/>
              <w:rPr>
                <w:rFonts w:hint="default"/>
              </w:rPr>
            </w:pPr>
          </w:p>
          <w:p>
            <w:pPr>
              <w:pStyle w:val="0"/>
              <w:jc w:val="left"/>
              <w:rPr>
                <w:rFonts w:hint="default" w:asciiTheme="minorEastAsia" w:hAnsiTheme="minorEastAsia"/>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rPr>
              <w:t>②</w:t>
            </w:r>
            <w:r>
              <w:rPr>
                <w:rFonts w:hint="eastAsia" w:asciiTheme="minorEastAsia" w:hAnsiTheme="minorEastAsia"/>
              </w:rPr>
              <w:t xml:space="preserve"> </w:t>
            </w:r>
            <w:r>
              <w:rPr>
                <w:rFonts w:hint="eastAsia" w:asciiTheme="minorEastAsia" w:hAnsiTheme="minorEastAsia"/>
              </w:rPr>
              <w:t>サービス提供における、（特定の建物等に限定しない）地域への展開</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39</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サービスの提供エリアについて、特定の集合住宅等に限定せず、地域に対して積極的にサービスを提供している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napToGrid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default"/>
              </w:rPr>
            </w:pPr>
            <w:r>
              <w:rPr>
                <w:rFonts w:hint="eastAsia"/>
              </w:rPr>
              <w:t>「特定の集合住宅等に限定しない、地域への積極的な展開」について、充足度を評価します</w:t>
            </w:r>
          </w:p>
          <w:p>
            <w:pPr>
              <w:pStyle w:val="29"/>
              <w:numPr>
                <w:ilvl w:val="0"/>
                <w:numId w:val="33"/>
              </w:numPr>
              <w:snapToGrid w:val="0"/>
              <w:spacing w:line="280" w:lineRule="exact"/>
              <w:ind w:leftChars="0"/>
              <w:rPr>
                <w:rFonts w:hint="default"/>
              </w:rPr>
            </w:pPr>
            <w:r>
              <w:rPr>
                <w:rFonts w:hint="eastAsia"/>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default"/>
              </w:rPr>
            </w:pPr>
            <w:r>
              <w:rPr>
                <w:rFonts w:hint="eastAsia"/>
              </w:rPr>
              <w:t>特定の集合住宅等のみを対象としている場合は「全くできていない」</w:t>
            </w:r>
          </w:p>
        </w:tc>
      </w:tr>
      <w:tr>
        <w:trPr>
          <w:trHeight w:val="9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snapToGrid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napToGrid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kern w:val="0"/>
              </w:rPr>
              <w:t>③</w:t>
            </w:r>
            <w:r>
              <w:rPr>
                <w:rFonts w:hint="default" w:asciiTheme="minorEastAsia" w:hAnsiTheme="minorEastAsia"/>
                <w:kern w:val="0"/>
              </w:rPr>
              <w:t xml:space="preserve"> </w:t>
            </w:r>
            <w:r>
              <w:rPr>
                <w:rFonts w:hint="eastAsia" w:asciiTheme="minorEastAsia" w:hAnsiTheme="minorEastAsia"/>
                <w:kern w:val="0"/>
              </w:rPr>
              <w:t>安心して暮らせるまちづくりに向けた、関係者等への積極的な課題提起、改善策の検討等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40</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介護・看護の観点から、地域の関係者に対し、必要に応じて課題提起や改善策の提案等が行われている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default"/>
              </w:rPr>
            </w:pPr>
            <w:r>
              <w:rPr>
                <w:rFonts w:hint="eastAsia"/>
              </w:rPr>
              <w:t>「課題提起や改善策の提案等の取組」について、その充足度を評価します</w:t>
            </w:r>
          </w:p>
          <w:p>
            <w:pPr>
              <w:pStyle w:val="29"/>
              <w:numPr>
                <w:ilvl w:val="0"/>
                <w:numId w:val="34"/>
              </w:numPr>
              <w:ind w:leftChars="0"/>
              <w:rPr>
                <w:rFonts w:hint="default"/>
              </w:rPr>
            </w:pPr>
            <w:r>
              <w:rPr>
                <w:rFonts w:hint="eastAsia"/>
              </w:rPr>
              <w:t>今後は、</w:t>
            </w:r>
            <w:r>
              <w:rPr>
                <w:rFonts w:hint="eastAsia" w:asciiTheme="minorEastAsia" w:hAnsiTheme="minor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default" w:asciiTheme="minorEastAsia" w:hAnsiTheme="minorEastAsia"/>
              </w:rPr>
            </w:pPr>
            <w:r>
              <w:rPr>
                <w:rFonts w:hint="eastAsia"/>
              </w:rPr>
              <w:t>そのような取組をしたことがない場合は、「全くできていない」</w:t>
            </w:r>
          </w:p>
        </w:tc>
      </w:tr>
      <w:tr>
        <w:trPr>
          <w:trHeight w:val="78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41</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5"/>
              </w:numPr>
              <w:ind w:leftChars="0"/>
              <w:rPr>
                <w:rFonts w:hint="default"/>
              </w:rPr>
            </w:pPr>
            <w:r>
              <w:rPr>
                <w:rFonts w:hint="eastAsia"/>
              </w:rPr>
              <w:t>家族等や近隣住民などに対し、その介護力の引き出しや向上のための具体的な取組等が行われている</w:t>
            </w:r>
          </w:p>
        </w:tc>
        <w:tc>
          <w:tcPr>
            <w:tcW w:w="350" w:type="pct"/>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3"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6" w:type="pct"/>
            <w:gridSpan w:val="5"/>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「家族等や近隣住民に対する、介護力の引き出しや向上のための取組」について、その充足度を評価します</w:t>
            </w:r>
          </w:p>
          <w:p>
            <w:pPr>
              <w:pStyle w:val="29"/>
              <w:numPr>
                <w:ilvl w:val="0"/>
                <w:numId w:val="28"/>
              </w:numPr>
              <w:ind w:leftChars="0"/>
              <w:rPr>
                <w:rFonts w:hint="default"/>
              </w:rPr>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default"/>
              </w:rPr>
            </w:pPr>
            <w:r>
              <w:rPr>
                <w:rFonts w:hint="eastAsia"/>
              </w:rPr>
              <w:t>そのような取組をしたことがない場合は、「全くできていない」</w:t>
            </w:r>
          </w:p>
        </w:tc>
      </w:tr>
      <w:tr>
        <w:trPr>
          <w:trHeight w:val="1780"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2"/>
              </w:numPr>
              <w:ind w:leftChars="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175" w:afterLines="50"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bl>
    <w:p>
      <w:pPr>
        <w:pStyle w:val="0"/>
        <w:widowControl w:val="1"/>
        <w:snapToGrid w:val="0"/>
        <w:jc w:val="left"/>
        <w:rPr>
          <w:rFonts w:hint="default" w:ascii="ＭＳ Ｐゴシック" w:hAnsi="ＭＳ Ｐゴシック" w:eastAsia="ＭＳ Ｐゴシック"/>
          <w:sz w:val="24"/>
        </w:rPr>
      </w:pP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2"/>
        <w:gridCol w:w="3052"/>
        <w:gridCol w:w="11"/>
        <w:gridCol w:w="4091"/>
        <w:gridCol w:w="11"/>
        <w:gridCol w:w="2791"/>
        <w:gridCol w:w="3747"/>
      </w:tblGrid>
      <w:tr>
        <w:trPr>
          <w:trHeight w:val="972" w:hRule="atLeast"/>
          <w:tblHeader/>
        </w:trPr>
        <w:tc>
          <w:tcPr>
            <w:tcW w:w="173" w:type="pc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番号</w:t>
            </w:r>
          </w:p>
        </w:tc>
        <w:tc>
          <w:tcPr>
            <w:tcW w:w="1079"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45"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983" w:type="pc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w:t>
            </w:r>
          </w:p>
          <w:p>
            <w:pPr>
              <w:pStyle w:val="0"/>
              <w:snapToGrid w:val="0"/>
              <w:jc w:val="center"/>
              <w:rPr>
                <w:rFonts w:hint="default" w:ascii="ＭＳ 明朝" w:hAnsi="ＭＳ 明朝"/>
                <w:sz w:val="21"/>
              </w:rPr>
            </w:pPr>
            <w:r>
              <w:rPr>
                <w:rFonts w:hint="eastAsia" w:ascii="ＭＳ 明朝" w:hAnsi="ＭＳ 明朝"/>
                <w:sz w:val="21"/>
              </w:rPr>
              <w:t>意見等</w:t>
            </w:r>
          </w:p>
        </w:tc>
        <w:tc>
          <w:tcPr>
            <w:tcW w:w="1320" w:type="pc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評価の視点・</w:t>
            </w:r>
          </w:p>
          <w:p>
            <w:pPr>
              <w:pStyle w:val="0"/>
              <w:snapToGrid w:val="0"/>
              <w:jc w:val="center"/>
              <w:rPr>
                <w:rFonts w:hint="default" w:ascii="ＭＳ 明朝" w:hAnsi="ＭＳ 明朝"/>
                <w:sz w:val="21"/>
              </w:rPr>
            </w:pPr>
            <w:r>
              <w:rPr>
                <w:rFonts w:hint="eastAsia" w:ascii="ＭＳ 明朝" w:hAnsi="ＭＳ 明朝"/>
                <w:sz w:val="21"/>
              </w:rPr>
              <w:t>評価にあたっての補足</w:t>
            </w:r>
          </w:p>
        </w:tc>
      </w:tr>
      <w:tr>
        <w:trPr/>
        <w:tc>
          <w:tcPr>
            <w:tcW w:w="3680" w:type="pct"/>
            <w:gridSpan w:val="6"/>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rPr>
            </w:pPr>
            <w:r>
              <w:rPr>
                <w:rFonts w:hint="eastAsia" w:ascii="HGPｺﾞｼｯｸE" w:hAnsi="HGPｺﾞｼｯｸE" w:eastAsia="HGPｺﾞｼｯｸE"/>
              </w:rPr>
              <w:t>Ⅲ　結果評価</w:t>
            </w:r>
          </w:p>
        </w:tc>
        <w:tc>
          <w:tcPr>
            <w:tcW w:w="1320"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rPr>
            </w:pPr>
          </w:p>
        </w:tc>
      </w:tr>
      <w:tr>
        <w:trPr/>
        <w:tc>
          <w:tcPr>
            <w:tcW w:w="3680" w:type="pct"/>
            <w:gridSpan w:val="6"/>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color="808080" w:sz="6" w:space="0"/>
              <w:left w:val="double" w:color="auto" w:sz="4" w:space="0"/>
              <w:bottom w:val="single" w:color="808080" w:sz="4" w:space="0"/>
              <w:right w:val="single" w:color="808080" w:themeColor="background1" w:themeShade="80"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42</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サービスの導入により、利用者ごとの計画目標が達成されている</w:t>
            </w:r>
          </w:p>
        </w:tc>
        <w:tc>
          <w:tcPr>
            <w:tcW w:w="144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175" w:afterLines="50"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6"/>
              </w:numPr>
              <w:ind w:leftChars="0"/>
              <w:rPr>
                <w:rFonts w:hint="default"/>
              </w:rPr>
            </w:pPr>
            <w:r>
              <w:rPr>
                <w:rFonts w:hint="eastAsia"/>
              </w:rPr>
              <w:t>「計画目標の達成」について、評価します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9" w:type="pct"/>
            <w:gridSpan w:val="3"/>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983" w:type="pct"/>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175" w:afterLines="50"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trPr>
        <w:tc>
          <w:tcPr>
            <w:tcW w:w="3680" w:type="pct"/>
            <w:gridSpan w:val="6"/>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在宅での療養生活の継続に対する安心感</w:t>
            </w:r>
          </w:p>
        </w:tc>
        <w:tc>
          <w:tcPr>
            <w:tcW w:w="1320"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43</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サービスの導入により、利用者およびその家族等において、医療が必要な状況下においての在宅での療養生活の継続に対し、安心感が得られている</w:t>
            </w:r>
          </w:p>
          <w:p>
            <w:pPr>
              <w:pStyle w:val="0"/>
              <w:rPr>
                <w:rFonts w:hint="default" w:ascii="ＭＳ Ｐゴシック" w:hAnsi="ＭＳ Ｐゴシック" w:eastAsia="ＭＳ Ｐゴシック"/>
                <w:u w:val="single" w:color="auto"/>
              </w:rPr>
            </w:pPr>
          </w:p>
          <w:p>
            <w:pPr>
              <w:pStyle w:val="0"/>
              <w:rPr>
                <w:rFonts w:hint="default"/>
              </w:rPr>
            </w:pP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5"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45"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262" w:afterLines="75" w:afterAutospacing="0"/>
              <w:rPr>
                <w:rFonts w:hint="default" w:ascii="ＭＳ Ｐゴシック" w:hAnsi="ＭＳ Ｐゴシック" w:eastAsia="ＭＳ Ｐゴシック"/>
                <w:u w:val="single" w:color="auto"/>
              </w:rPr>
            </w:pPr>
          </w:p>
        </w:tc>
        <w:tc>
          <w:tcPr>
            <w:tcW w:w="987"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262" w:afterLines="75" w:afterAutospacing="0"/>
              <w:rPr>
                <w:rFonts w:hint="default" w:ascii="ＭＳ Ｐゴシック" w:hAnsi="ＭＳ Ｐゴシック" w:eastAsia="ＭＳ Ｐゴシック"/>
                <w:u w:val="single" w:color="auto"/>
              </w:rPr>
            </w:pPr>
          </w:p>
        </w:tc>
        <w:tc>
          <w:tcPr>
            <w:tcW w:w="1320"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44</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sz w:val="21"/>
              </w:rPr>
            </w:pPr>
            <w:r>
              <w:rPr>
                <w:rFonts w:hint="eastAsia"/>
                <w:sz w:val="21"/>
              </w:rPr>
              <w:t>４．利用者の１</w:t>
            </w:r>
            <w:r>
              <w:rPr>
                <w:rFonts w:hint="eastAsia"/>
                <w:sz w:val="21"/>
              </w:rPr>
              <w:t>/</w:t>
            </w:r>
            <w:r>
              <w:rPr>
                <w:rFonts w:hint="eastAsia"/>
                <w:sz w:val="21"/>
              </w:rPr>
              <w:t>３には満たない</w:t>
            </w:r>
          </w:p>
          <w:p>
            <w:pPr>
              <w:pStyle w:val="0"/>
              <w:snapToGrid w:val="0"/>
              <w:rPr>
                <w:rFonts w:hint="default"/>
              </w:rPr>
            </w:pPr>
            <w:r>
              <w:rPr>
                <w:rFonts w:hint="eastAsia"/>
                <w:sz w:val="21"/>
              </w:rPr>
              <w:t>５．看取りの希望者はいない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default"/>
              </w:rPr>
            </w:pPr>
            <w:r>
              <w:rPr>
                <w:rFonts w:hint="eastAsia"/>
              </w:rPr>
              <w:t>在宅での看取りは、事業所内（通い・泊まり）での看取りを含みます</w:t>
            </w:r>
          </w:p>
          <w:p>
            <w:pPr>
              <w:pStyle w:val="29"/>
              <w:widowControl w:val="1"/>
              <w:numPr>
                <w:ilvl w:val="0"/>
                <w:numId w:val="37"/>
              </w:numPr>
              <w:ind w:leftChars="0"/>
              <w:jc w:val="left"/>
              <w:rPr>
                <w:rFonts w:hint="default"/>
              </w:rPr>
            </w:pPr>
            <w:r>
              <w:rPr>
                <w:rFonts w:hint="eastAsia"/>
              </w:rPr>
              <w:t>在宅での看取りの希望者がいない場合は、「５．看取りの希望者はいない」</w:t>
            </w: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5" w:type="pct"/>
            <w:gridSpan w:val="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987" w:type="pct"/>
            <w:gridSpan w:val="2"/>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Ｐゴシック" w:hAnsi="ＭＳ Ｐゴシック" w:eastAsia="ＭＳ Ｐゴシック"/>
          <w:sz w:val="24"/>
        </w:rPr>
      </w:pPr>
    </w:p>
    <w:p>
      <w:pPr>
        <w:pStyle w:val="18"/>
        <w:spacing w:before="52" w:beforeLines="15" w:beforeAutospacing="0"/>
        <w:rPr>
          <w:rFonts w:hint="default" w:asciiTheme="majorEastAsia" w:hAnsiTheme="majorEastAsia" w:eastAsiaTheme="majorEastAsia"/>
          <w:sz w:val="20"/>
        </w:rPr>
      </w:pPr>
    </w:p>
    <w:sectPr>
      <w:footerReference r:id="rId6" w:type="default"/>
      <w:pgSz w:w="16838" w:h="11906" w:orient="landscape"/>
      <w:pgMar w:top="1134" w:right="1418" w:bottom="1134" w:left="1418" w:header="851" w:footer="851" w:gutter="0"/>
      <w:cols w:space="720"/>
      <w:textDirection w:val="lrTb"/>
      <w:docGrid w:type="linesAndChars" w:linePitch="350"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Raavi">
    <w:panose1 w:val="00000000000000000000"/>
    <w:charset w:val="00"/>
    <w:family w:val="swiss"/>
    <w:notTrueType/>
    <w:pitch w:val="fixed"/>
    <w:sig w:usb0="00000000" w:usb1="00000000" w:usb2="00000000" w:usb3="00000000" w:csb0="000000FF"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43099"/>
      <w:docPartObj>
        <w:docPartGallery w:val="Page Numbers (Bottom of Page)"/>
        <w:docPartUnique/>
      </w:docPartObj>
    </w:sdtPr>
    <w:sdtEndPr>
      <w:rPr>
        <w:rFonts w:hint="default"/>
      </w:rPr>
    </w:sdtEndPr>
    <w:sdtContent>
      <w:p>
        <w:pPr>
          <w:pStyle w:val="3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eastAsia="ＭＳ 明朝" w:asciiTheme="majorEastAsia" w:hAnsiTheme="majorEastAsia"/>
        <w:b w:val="0"/>
        <w:i w:val="0"/>
        <w:caps w:val="0"/>
        <w:smallCaps w:val="0"/>
        <w:strike w:val="0"/>
        <w:dstrike w:val="0"/>
        <w:vanish w:val="0"/>
        <w:spacing w:val="0"/>
        <w:position w:val="0"/>
        <w:sz w:val="2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Wingdings" w:hAnsi="Wingdings" w:eastAsiaTheme="minorEastAsia"/>
        <w:kern w:val="2"/>
        <w:sz w:val="22"/>
      </w:rPr>
    </w:rPrDefault>
  </w:docDefaults>
  <w:style w:type="paragraph" w:styleId="0" w:default="1">
    <w:name w:val="Normal"/>
    <w:next w:val="0"/>
    <w:link w:val="0"/>
    <w:uiPriority w:val="0"/>
    <w:qFormat/>
    <w:pPr>
      <w:widowControl w:val="0"/>
      <w:jc w:val="both"/>
    </w:pPr>
    <w:rPr>
      <w:rFonts w:ascii="Times New Roman" w:hAnsi="Times New Roman"/>
    </w:rPr>
  </w:style>
  <w:style w:type="paragraph" w:styleId="1">
    <w:name w:val="heading 1"/>
    <w:basedOn w:val="0"/>
    <w:next w:val="0"/>
    <w:link w:val="15"/>
    <w:uiPriority w:val="0"/>
    <w:qFormat/>
    <w:pPr>
      <w:numPr>
        <w:ilvl w:val="0"/>
        <w:numId w:val="1"/>
      </w:numPr>
      <w:spacing w:after="1050"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350"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525"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350" w:afterLines="100" w:afterAutospacing="0"/>
      <w:outlineLvl w:val="3"/>
    </w:pPr>
    <w:rPr>
      <w:rFonts w:asciiTheme="majorEastAsia" w:hAnsiTheme="majorEastAsia" w:eastAsiaTheme="majorEastAsia"/>
      <w:sz w:val="24"/>
    </w:rPr>
  </w:style>
  <w:style w:type="paragraph" w:styleId="5">
    <w:name w:val="heading 5"/>
    <w:basedOn w:val="0"/>
    <w:next w:val="18"/>
    <w:link w:val="21"/>
    <w:uiPriority w:val="0"/>
    <w:qFormat/>
    <w:pPr>
      <w:keepNext w:val="1"/>
      <w:numPr>
        <w:ilvl w:val="4"/>
        <w:numId w:val="1"/>
      </w:numPr>
      <w:spacing w:before="175"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75"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4"/>
    </w:rPr>
  </w:style>
  <w:style w:type="character" w:styleId="16" w:customStyle="1">
    <w:name w:val="見出し 2 (文字)"/>
    <w:basedOn w:val="10"/>
    <w:next w:val="16"/>
    <w:link w:val="2"/>
    <w:uiPriority w:val="0"/>
    <w:rPr>
      <w:rFonts w:ascii="ＭＳ ゴシック" w:hAnsi="ＭＳ ゴシック" w:eastAsia="ＭＳ ゴシック"/>
    </w:rPr>
  </w:style>
  <w:style w:type="character" w:styleId="17" w:customStyle="1">
    <w:name w:val="見出し 3 (文字)"/>
    <w:basedOn w:val="10"/>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basedOn w:val="10"/>
    <w:next w:val="19"/>
    <w:link w:val="18"/>
    <w:uiPriority w:val="0"/>
    <w:rPr>
      <w:rFonts w:ascii="Times New Roman" w:hAnsi="Times New Roman"/>
      <w:sz w:val="22"/>
    </w:rPr>
  </w:style>
  <w:style w:type="character" w:styleId="20" w:customStyle="1">
    <w:name w:val="見出し 4 (文字)"/>
    <w:basedOn w:val="10"/>
    <w:next w:val="20"/>
    <w:link w:val="4"/>
    <w:uiPriority w:val="0"/>
    <w:rPr>
      <w:rFonts w:asciiTheme="majorEastAsia" w:hAnsiTheme="majorEastAsia" w:eastAsiaTheme="majorEastAsia"/>
      <w:sz w:val="24"/>
    </w:rPr>
  </w:style>
  <w:style w:type="character" w:styleId="21" w:customStyle="1">
    <w:name w:val="見出し 5 (文字)"/>
    <w:basedOn w:val="10"/>
    <w:next w:val="21"/>
    <w:link w:val="5"/>
    <w:uiPriority w:val="0"/>
    <w:rPr>
      <w:rFonts w:ascii="Arial" w:hAnsi="Arial" w:eastAsia="ＭＳ ゴシック"/>
    </w:rPr>
  </w:style>
  <w:style w:type="character" w:styleId="22" w:customStyle="1">
    <w:name w:val="見出し 6 (文字)"/>
    <w:basedOn w:val="10"/>
    <w:next w:val="22"/>
    <w:link w:val="6"/>
    <w:uiPriority w:val="0"/>
    <w:rPr>
      <w:rFonts w:ascii="Times New Roman" w:hAnsi="Times New Roman"/>
      <w:b w:val="1"/>
      <w:sz w:val="22"/>
    </w:rPr>
  </w:style>
  <w:style w:type="character" w:styleId="23" w:customStyle="1">
    <w:name w:val="見出し 7 (文字)"/>
    <w:basedOn w:val="10"/>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basedOn w:val="10"/>
    <w:next w:val="25"/>
    <w:link w:val="24"/>
    <w:uiPriority w:val="0"/>
    <w:rPr>
      <w:rFonts w:ascii="Times New Roman" w:hAnsi="Times New Roman"/>
      <w:sz w:val="22"/>
    </w:rPr>
  </w:style>
  <w:style w:type="character" w:styleId="26" w:customStyle="1">
    <w:name w:val="見出し 8 (文字)"/>
    <w:basedOn w:val="10"/>
    <w:next w:val="26"/>
    <w:link w:val="8"/>
    <w:uiPriority w:val="0"/>
    <w:rPr>
      <w:rFonts w:ascii="Times New Roman" w:hAnsi="Times New Roman"/>
      <w:sz w:val="22"/>
    </w:rPr>
  </w:style>
  <w:style w:type="character" w:styleId="27" w:customStyle="1">
    <w:name w:val="見出し 9 (文字)"/>
    <w:basedOn w:val="10"/>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75"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Theme="minorHAnsi" w:hAnsiTheme="minorHAnsi"/>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75" w:afterLines="50" w:afterAutospacing="0"/>
      <w:ind w:left="220" w:leftChars="100"/>
    </w:pPr>
  </w:style>
  <w:style w:type="paragraph" w:styleId="33">
    <w:name w:val="toc 3"/>
    <w:basedOn w:val="0"/>
    <w:next w:val="0"/>
    <w:link w:val="0"/>
    <w:uiPriority w:val="0"/>
    <w:pPr>
      <w:ind w:left="440" w:leftChars="200"/>
    </w:pPr>
  </w:style>
  <w:style w:type="character" w:styleId="34">
    <w:name w:val="Hyperlink"/>
    <w:basedOn w:val="10"/>
    <w:next w:val="34"/>
    <w:link w:val="0"/>
    <w:uiPriority w:val="0"/>
    <w:rPr>
      <w:color w:val="0000FF" w:themeColor="hyperlink"/>
      <w:u w:val="single" w:color="auto"/>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basedOn w:val="10"/>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basedOn w:val="10"/>
    <w:next w:val="43"/>
    <w:link w:val="42"/>
    <w:uiPriority w:val="0"/>
    <w:rPr>
      <w:rFonts w:ascii="Times New Roman" w:hAnsi="Times New Roman"/>
      <w:sz w:val="22"/>
    </w:rPr>
  </w:style>
  <w:style w:type="character" w:styleId="44">
    <w:name w:val="footnote reference"/>
    <w:basedOn w:val="10"/>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basedOn w:val="10"/>
    <w:next w:val="47"/>
    <w:link w:val="46"/>
    <w:uiPriority w:val="0"/>
    <w:rPr>
      <w:rFonts w:ascii="ＭＳ ゴシック" w:hAnsi="ＭＳ ゴシック" w:eastAsia="ＭＳ ゴシック"/>
      <w:sz w:val="24"/>
    </w:rPr>
  </w:style>
  <w:style w:type="character" w:styleId="48">
    <w:name w:val="annotation reference"/>
    <w:basedOn w:val="10"/>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basedOn w:val="10"/>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basedOn w:val="50"/>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eastAsia="ＭＳ ゴシック" w:asciiTheme="majorHAnsi" w:hAnsiTheme="majorHAnsi"/>
      <w:sz w:val="24"/>
    </w:rPr>
  </w:style>
  <w:style w:type="character" w:styleId="55" w:customStyle="1">
    <w:name w:val="副題 (文字)"/>
    <w:basedOn w:val="10"/>
    <w:next w:val="55"/>
    <w:link w:val="54"/>
    <w:uiPriority w:val="0"/>
    <w:rPr>
      <w:rFonts w:eastAsia="ＭＳ ゴシック" w:asciiTheme="majorHAnsi" w:hAnsiTheme="majorHAnsi"/>
      <w:sz w:val="24"/>
    </w:rPr>
  </w:style>
  <w:style w:type="paragraph" w:styleId="56">
    <w:name w:val="Revision"/>
    <w:next w:val="56"/>
    <w:link w:val="0"/>
    <w:uiPriority w:val="0"/>
    <w:rPr>
      <w:rFonts w:ascii="Times New Roman" w:hAnsi="Times New Roman"/>
    </w:rPr>
  </w:style>
  <w:style w:type="paragraph" w:styleId="57">
    <w:name w:val="Date"/>
    <w:basedOn w:val="0"/>
    <w:next w:val="0"/>
    <w:link w:val="58"/>
    <w:uiPriority w:val="0"/>
    <w:rPr>
      <w:rFonts w:ascii="Century" w:hAnsi="Century" w:eastAsia="ＭＳ 明朝"/>
      <w:sz w:val="21"/>
    </w:rPr>
  </w:style>
  <w:style w:type="character" w:styleId="58" w:customStyle="1">
    <w:name w:val="日付 (文字)"/>
    <w:basedOn w:val="10"/>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eastAsia="ＭＳ 明朝"/>
      <w:spacing w:val="2"/>
      <w:kern w:val="0"/>
      <w:sz w:val="21"/>
    </w:rPr>
  </w:style>
  <w:style w:type="paragraph" w:styleId="60" w:customStyle="1">
    <w:name w:val="タイトル"/>
    <w:next w:val="0"/>
    <w:link w:val="0"/>
    <w:uiPriority w:val="0"/>
    <w:rPr>
      <w:rFonts w:ascii="Arial" w:hAnsi="Arial" w:eastAsia="ＭＳ ゴシック"/>
      <w:kern w:val="0"/>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basedOn w:val="10"/>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basedOn w:val="10"/>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75" w:beforeLines="50" w:beforeAutospacing="0" w:after="175"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350" w:beforeLines="100" w:beforeAutospacing="0" w:after="175"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62"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75"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basedOn w:val="10"/>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basedOn w:val="10"/>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62"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350" w:beforeLines="100" w:beforeAutospacing="0" w:after="175"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25</Pages>
  <Words>68</Words>
  <Characters>9114</Characters>
  <Application>JUST Note</Application>
  <Lines>6356</Lines>
  <Paragraphs>340</Paragraphs>
  <CharactersWithSpaces>9204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井田　美枝</cp:lastModifiedBy>
  <dcterms:modified xsi:type="dcterms:W3CDTF">2023-02-16T00:30:20Z</dcterms:modified>
  <cp:revision>0</cp:revision>
</cp:coreProperties>
</file>